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5E1613">
      <w:pPr>
        <w:widowControl/>
        <w:spacing w:before="150"/>
        <w:jc w:val="center"/>
        <w:rPr>
          <w:rFonts w:asciiTheme="minorEastAsia" w:hAnsiTheme="minorEastAsia"/>
          <w:b/>
          <w:sz w:val="44"/>
          <w:szCs w:val="44"/>
        </w:rPr>
      </w:pPr>
      <w:r>
        <w:rPr>
          <w:rFonts w:hint="eastAsia"/>
          <w:b/>
          <w:color w:val="1F497D" w:themeColor="text2"/>
          <w:sz w:val="36"/>
          <w:szCs w:val="36"/>
          <w14:textFill>
            <w14:solidFill>
              <w14:schemeClr w14:val="tx2"/>
            </w14:solidFill>
          </w14:textFill>
        </w:rPr>
        <w:t>带自动送料收料回转炉系统  OTF-1200X-5D-R-III-AF</w:t>
      </w:r>
      <w:r>
        <w:rPr>
          <w:rFonts w:hint="eastAsia" w:asciiTheme="minorEastAsia" w:hAnsiTheme="minorEastAsia"/>
          <w:b/>
          <w:sz w:val="44"/>
          <w:szCs w:val="44"/>
        </w:rPr>
        <w:t>技术规格书</w:t>
      </w:r>
    </w:p>
    <w:p w14:paraId="3C81A6DA">
      <w:pPr>
        <w:ind w:firstLine="221" w:firstLineChars="50"/>
        <w:jc w:val="center"/>
        <w:rPr>
          <w:rFonts w:asciiTheme="minorEastAsia" w:hAnsiTheme="minorEastAsia"/>
          <w:b/>
          <w:sz w:val="44"/>
          <w:szCs w:val="44"/>
        </w:rPr>
      </w:pPr>
      <w:r>
        <w:rPr>
          <w:rFonts w:asciiTheme="minorEastAsia" w:hAnsiTheme="minorEastAsia"/>
          <w:b/>
          <w:sz w:val="44"/>
          <w:szCs w:val="44"/>
        </w:rPr>
        <w:drawing>
          <wp:inline distT="0" distB="0" distL="0" distR="0">
            <wp:extent cx="4208145" cy="2258060"/>
            <wp:effectExtent l="0" t="0" r="1905" b="8890"/>
            <wp:docPr id="2" name="图片 2" descr="C:\Users\123\Desktop\QQ截图20230524084049.pngQQ截图20230524084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123\Desktop\QQ截图20230524084049.pngQQ截图2023052408404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814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ACBC4">
      <w:pPr>
        <w:ind w:firstLine="539"/>
        <w:rPr>
          <w:rFonts w:asciiTheme="minorEastAsia" w:hAnsi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t>OTF-1200X-5D-R-III-AF是一款三温区管式炉，带有自动进料、传输和反应的装置。自动进料器可控制粉体进入到管式炉炉管内的速率。螺杆传输器将粉料运送穿过管式炉加热区（控制螺杆转动速度来决定粉末在加热区内的停留时间），通入各种CVD反应气体，可用此设备连续对粉末进行复合合表面包裹。此款设备可用于探索新一代壳核材料或CNT复合材料。</w:t>
      </w:r>
    </w:p>
    <w:p w14:paraId="4E97FE7C">
      <w:pPr>
        <w:rPr>
          <w:sz w:val="24"/>
          <w:szCs w:val="24"/>
        </w:rPr>
      </w:pPr>
      <w:r>
        <w:rPr>
          <w:rFonts w:hint="eastAsia" w:asciiTheme="minorEastAsia" w:hAnsiTheme="minorEastAsia"/>
          <w:b/>
          <w:sz w:val="28"/>
          <w:szCs w:val="28"/>
        </w:rPr>
        <w:t xml:space="preserve">技术参数           </w:t>
      </w:r>
    </w:p>
    <w:tbl>
      <w:tblPr>
        <w:tblStyle w:val="8"/>
        <w:tblW w:w="9210" w:type="dxa"/>
        <w:tblInd w:w="-395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5"/>
        <w:gridCol w:w="6895"/>
      </w:tblGrid>
      <w:tr w14:paraId="29A19D4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2315" w:type="dxa"/>
          </w:tcPr>
          <w:p w14:paraId="380AC48C"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产品型号</w:t>
            </w:r>
          </w:p>
        </w:tc>
        <w:tc>
          <w:tcPr>
            <w:tcW w:w="6895" w:type="dxa"/>
          </w:tcPr>
          <w:p w14:paraId="1022FF1C">
            <w:pPr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OTF-1200X-5D-R-III-AF</w:t>
            </w:r>
          </w:p>
        </w:tc>
      </w:tr>
      <w:tr w14:paraId="3040356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2315" w:type="dxa"/>
            <w:vMerge w:val="restart"/>
          </w:tcPr>
          <w:p w14:paraId="0A458761">
            <w:pPr>
              <w:widowControl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2907030</wp:posOffset>
                  </wp:positionV>
                  <wp:extent cx="1287780" cy="966470"/>
                  <wp:effectExtent l="0" t="0" r="7620" b="5080"/>
                  <wp:wrapNone/>
                  <wp:docPr id="22" name="图片 22" descr="炉膛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炉膛图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96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Cs w:val="21"/>
              </w:rPr>
              <w:t>基本参数</w:t>
            </w:r>
          </w:p>
        </w:tc>
        <w:tc>
          <w:tcPr>
            <w:tcW w:w="6895" w:type="dxa"/>
            <w:tcBorders>
              <w:bottom w:val="single" w:color="auto" w:sz="4" w:space="0"/>
            </w:tcBorders>
          </w:tcPr>
          <w:p w14:paraId="286745C5">
            <w:pPr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可开启式回转炉</w:t>
            </w:r>
          </w:p>
          <w:p w14:paraId="1CEC4C84">
            <w:pPr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· 炉膛长度：3*300mm（3个温区，每个温区独立控制）</w:t>
            </w:r>
          </w:p>
        </w:tc>
      </w:tr>
      <w:tr w14:paraId="1472F8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2315" w:type="dxa"/>
            <w:vMerge w:val="continue"/>
          </w:tcPr>
          <w:p w14:paraId="2A4D74E7"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6895" w:type="dxa"/>
            <w:tcBorders>
              <w:top w:val="single" w:color="auto" w:sz="4" w:space="0"/>
              <w:bottom w:val="single" w:color="auto" w:sz="4" w:space="0"/>
            </w:tcBorders>
          </w:tcPr>
          <w:p w14:paraId="788A9C81">
            <w:pPr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· 电源：AC220V  50HZ</w:t>
            </w:r>
          </w:p>
          <w:p w14:paraId="78A2F1DA">
            <w:pPr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· 功率：7.5KW</w:t>
            </w:r>
          </w:p>
          <w:p w14:paraId="1E25351A">
            <w:pPr>
              <w:tabs>
                <w:tab w:val="left" w:pos="1191"/>
              </w:tabs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· 炉子倾斜角度：0-20°</w:t>
            </w:r>
          </w:p>
        </w:tc>
      </w:tr>
      <w:tr w14:paraId="6CC84F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0" w:hRule="atLeast"/>
        </w:trPr>
        <w:tc>
          <w:tcPr>
            <w:tcW w:w="2315" w:type="dxa"/>
            <w:vMerge w:val="continue"/>
          </w:tcPr>
          <w:p w14:paraId="19B3CFA5"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6895" w:type="dxa"/>
            <w:tcBorders>
              <w:top w:val="single" w:color="auto" w:sz="4" w:space="0"/>
              <w:bottom w:val="single" w:color="auto" w:sz="4" w:space="0"/>
            </w:tcBorders>
          </w:tcPr>
          <w:p w14:paraId="2231A690">
            <w:pPr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工作温度：</w:t>
            </w:r>
          </w:p>
          <w:p w14:paraId="65CFAFF0">
            <w:pPr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· 最高温度：1200度＜1h</w:t>
            </w:r>
          </w:p>
          <w:p w14:paraId="6B9D6AEB">
            <w:pPr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· 连续工作温度：1100度，真空状态下：≤1000℃</w:t>
            </w:r>
          </w:p>
          <w:p w14:paraId="111BA652">
            <w:pPr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· 推荐升温速率：≤10℃/min</w:t>
            </w:r>
          </w:p>
        </w:tc>
      </w:tr>
      <w:tr w14:paraId="07C38F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7" w:hRule="atLeast"/>
        </w:trPr>
        <w:tc>
          <w:tcPr>
            <w:tcW w:w="2315" w:type="dxa"/>
            <w:vMerge w:val="continue"/>
          </w:tcPr>
          <w:p w14:paraId="5B9D3A22"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6895" w:type="dxa"/>
            <w:tcBorders>
              <w:top w:val="single" w:color="auto" w:sz="4" w:space="0"/>
            </w:tcBorders>
          </w:tcPr>
          <w:p w14:paraId="39CC034B">
            <w:pPr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温控系统：</w:t>
            </w:r>
          </w:p>
          <w:p w14:paraId="62A71F06">
            <w:pPr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· 30段智能控温仪，可设置30段升降温程序</w:t>
            </w:r>
          </w:p>
          <w:p w14:paraId="405E0DA9">
            <w:pPr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· PID方式调节温度</w:t>
            </w:r>
          </w:p>
          <w:p w14:paraId="733ED61F">
            <w:pPr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· 带有温度上限报警，超过上限温度会切断加热开关，停止加热</w:t>
            </w:r>
          </w:p>
          <w:p w14:paraId="4CA95946">
            <w:pPr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· 控温精度:±1度</w:t>
            </w:r>
          </w:p>
          <w:p w14:paraId="17D2AF91">
            <w:pPr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· 热电偶：K型</w:t>
            </w:r>
          </w:p>
          <w:p w14:paraId="08A61F0D">
            <w:pPr>
              <w:pStyle w:val="6"/>
              <w:spacing w:beforeAutospacing="0" w:afterAutospacing="0"/>
              <w:rPr>
                <w:rFonts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eastAsia="宋体" w:cs="宋体"/>
                <w:color w:val="000000"/>
                <w:sz w:val="21"/>
                <w:szCs w:val="21"/>
              </w:rPr>
              <w:t>· 默认DB9 PC通信连接端口</w:t>
            </w:r>
          </w:p>
          <w:p w14:paraId="6801F33D">
            <w:pPr>
              <w:pStyle w:val="6"/>
              <w:spacing w:beforeAutospacing="0" w:afterAutospacing="0"/>
              <w:rPr>
                <w:rFonts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eastAsia="宋体" w:cs="宋体"/>
                <w:color w:val="000000"/>
                <w:sz w:val="21"/>
                <w:szCs w:val="21"/>
              </w:rPr>
              <w:t>· 通过MET认证</w:t>
            </w:r>
          </w:p>
          <w:p w14:paraId="2DDD49DF">
            <w:pPr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· 可选购电脑温度控制软件(用于518P系列控制器)用于控制升温曲线和导出数据</w:t>
            </w:r>
          </w:p>
          <w:p w14:paraId="1D67BA45">
            <w:pPr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49530</wp:posOffset>
                  </wp:positionV>
                  <wp:extent cx="1844040" cy="972820"/>
                  <wp:effectExtent l="0" t="0" r="3810" b="17780"/>
                  <wp:wrapNone/>
                  <wp:docPr id="7" name="图片 7" descr="6371052873155855413675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63710528731558554136754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97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2416810</wp:posOffset>
                  </wp:positionH>
                  <wp:positionV relativeFrom="paragraph">
                    <wp:posOffset>69215</wp:posOffset>
                  </wp:positionV>
                  <wp:extent cx="1419225" cy="915670"/>
                  <wp:effectExtent l="0" t="0" r="9525" b="17780"/>
                  <wp:wrapNone/>
                  <wp:docPr id="14" name="图片 14" descr="C:\Users\123\Desktop\6371052875061494993619297.jpg6371052875061494993619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\Users\123\Desktop\6371052875061494993619297.jpg637105287506149499361929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91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F619CC5">
            <w:pPr>
              <w:tabs>
                <w:tab w:val="left" w:pos="1191"/>
              </w:tabs>
              <w:rPr>
                <w:rFonts w:ascii="宋体" w:hAnsi="宋体" w:eastAsia="宋体" w:cs="宋体"/>
                <w:szCs w:val="21"/>
              </w:rPr>
            </w:pPr>
          </w:p>
          <w:p w14:paraId="4EC7F1C8">
            <w:pPr>
              <w:tabs>
                <w:tab w:val="left" w:pos="1191"/>
              </w:tabs>
              <w:rPr>
                <w:rFonts w:ascii="宋体" w:hAnsi="宋体" w:eastAsia="宋体" w:cs="宋体"/>
                <w:szCs w:val="21"/>
              </w:rPr>
            </w:pPr>
          </w:p>
          <w:p w14:paraId="679352AE">
            <w:pPr>
              <w:tabs>
                <w:tab w:val="left" w:pos="1191"/>
              </w:tabs>
              <w:rPr>
                <w:rFonts w:ascii="宋体" w:hAnsi="宋体" w:eastAsia="宋体" w:cs="宋体"/>
                <w:szCs w:val="21"/>
              </w:rPr>
            </w:pPr>
          </w:p>
          <w:p w14:paraId="19D7D2ED">
            <w:pPr>
              <w:tabs>
                <w:tab w:val="left" w:pos="1191"/>
              </w:tabs>
              <w:rPr>
                <w:rFonts w:ascii="宋体" w:hAnsi="宋体" w:eastAsia="宋体" w:cs="宋体"/>
                <w:szCs w:val="21"/>
              </w:rPr>
            </w:pPr>
          </w:p>
        </w:tc>
      </w:tr>
      <w:tr w14:paraId="3859232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15" w:type="dxa"/>
          </w:tcPr>
          <w:p w14:paraId="745CBE68">
            <w:pPr>
              <w:pStyle w:val="6"/>
              <w:spacing w:beforeAutospacing="0" w:afterAutospacing="0"/>
              <w:jc w:val="center"/>
              <w:rPr>
                <w:rStyle w:val="10"/>
                <w:rFonts w:eastAsia="宋体" w:cs="宋体"/>
                <w:b w:val="0"/>
                <w:bCs w:val="0"/>
                <w:color w:val="000000"/>
                <w:sz w:val="21"/>
                <w:szCs w:val="21"/>
              </w:rPr>
            </w:pPr>
          </w:p>
          <w:p w14:paraId="25018249">
            <w:pPr>
              <w:pStyle w:val="6"/>
              <w:spacing w:beforeAutospacing="0" w:afterAutospacing="0"/>
              <w:jc w:val="center"/>
              <w:rPr>
                <w:rStyle w:val="10"/>
                <w:rFonts w:eastAsia="宋体" w:cs="宋体"/>
                <w:b w:val="0"/>
                <w:bCs w:val="0"/>
                <w:color w:val="000000"/>
                <w:sz w:val="21"/>
                <w:szCs w:val="21"/>
              </w:rPr>
            </w:pPr>
          </w:p>
          <w:p w14:paraId="45EFF094">
            <w:pPr>
              <w:pStyle w:val="6"/>
              <w:spacing w:beforeAutospacing="0" w:afterAutospacing="0"/>
              <w:jc w:val="center"/>
              <w:rPr>
                <w:rStyle w:val="10"/>
                <w:rFonts w:eastAsia="宋体" w:cs="宋体"/>
                <w:b w:val="0"/>
                <w:bCs w:val="0"/>
                <w:color w:val="000000"/>
                <w:sz w:val="21"/>
                <w:szCs w:val="21"/>
              </w:rPr>
            </w:pPr>
          </w:p>
          <w:p w14:paraId="20ED313D">
            <w:pPr>
              <w:pStyle w:val="6"/>
              <w:spacing w:beforeAutospacing="0" w:afterAutospacing="0"/>
              <w:jc w:val="center"/>
              <w:rPr>
                <w:rStyle w:val="10"/>
                <w:rFonts w:eastAsia="宋体" w:cs="宋体"/>
                <w:b w:val="0"/>
                <w:bCs w:val="0"/>
                <w:color w:val="000000"/>
                <w:sz w:val="21"/>
                <w:szCs w:val="21"/>
              </w:rPr>
            </w:pPr>
          </w:p>
          <w:p w14:paraId="4686B1F9">
            <w:pPr>
              <w:pStyle w:val="6"/>
              <w:spacing w:beforeAutospacing="0" w:afterAutospacing="0"/>
              <w:jc w:val="center"/>
              <w:rPr>
                <w:rStyle w:val="10"/>
                <w:rFonts w:eastAsia="宋体" w:cs="宋体"/>
                <w:b w:val="0"/>
                <w:bCs w:val="0"/>
                <w:color w:val="000000"/>
                <w:sz w:val="21"/>
                <w:szCs w:val="21"/>
              </w:rPr>
            </w:pPr>
          </w:p>
          <w:p w14:paraId="38667BDE">
            <w:pPr>
              <w:pStyle w:val="6"/>
              <w:spacing w:beforeAutospacing="0" w:afterAutospacing="0"/>
              <w:jc w:val="center"/>
              <w:rPr>
                <w:rStyle w:val="10"/>
                <w:rFonts w:eastAsia="宋体" w:cs="宋体"/>
                <w:b w:val="0"/>
                <w:bCs w:val="0"/>
                <w:color w:val="000000"/>
                <w:sz w:val="21"/>
                <w:szCs w:val="21"/>
              </w:rPr>
            </w:pPr>
          </w:p>
          <w:p w14:paraId="4EAAC864">
            <w:pPr>
              <w:pStyle w:val="6"/>
              <w:spacing w:beforeAutospacing="0" w:afterAutospacing="0"/>
              <w:jc w:val="center"/>
              <w:rPr>
                <w:rStyle w:val="10"/>
                <w:rFonts w:eastAsia="宋体" w:cs="宋体"/>
                <w:b w:val="0"/>
                <w:bCs w:val="0"/>
                <w:color w:val="000000"/>
                <w:sz w:val="21"/>
                <w:szCs w:val="21"/>
              </w:rPr>
            </w:pPr>
          </w:p>
          <w:p w14:paraId="08D68EE1">
            <w:pPr>
              <w:pStyle w:val="6"/>
              <w:spacing w:beforeAutospacing="0" w:afterAutospacing="0"/>
              <w:jc w:val="center"/>
              <w:rPr>
                <w:rStyle w:val="10"/>
                <w:rFonts w:eastAsia="宋体" w:cs="宋体"/>
                <w:b w:val="0"/>
                <w:bCs w:val="0"/>
                <w:color w:val="000000"/>
                <w:sz w:val="21"/>
                <w:szCs w:val="21"/>
              </w:rPr>
            </w:pPr>
          </w:p>
          <w:p w14:paraId="2A340C74">
            <w:pPr>
              <w:pStyle w:val="6"/>
              <w:spacing w:beforeAutospacing="0" w:afterAutospacing="0"/>
              <w:jc w:val="center"/>
              <w:rPr>
                <w:rStyle w:val="10"/>
                <w:rFonts w:eastAsia="宋体" w:cs="宋体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Style w:val="10"/>
                <w:rFonts w:hint="eastAsia" w:eastAsia="宋体" w:cs="宋体"/>
                <w:b w:val="0"/>
                <w:bCs w:val="0"/>
                <w:color w:val="000000"/>
                <w:sz w:val="21"/>
                <w:szCs w:val="21"/>
              </w:rPr>
              <w:t>自动送料器</w:t>
            </w:r>
          </w:p>
          <w:p w14:paraId="29CE9941">
            <w:pPr>
              <w:pStyle w:val="6"/>
              <w:spacing w:beforeAutospacing="0" w:afterAutospacing="0"/>
              <w:jc w:val="center"/>
              <w:rPr>
                <w:rFonts w:eastAsia="宋体" w:cs="宋体"/>
                <w:szCs w:val="21"/>
              </w:rPr>
            </w:pPr>
          </w:p>
        </w:tc>
        <w:tc>
          <w:tcPr>
            <w:tcW w:w="6895" w:type="dxa"/>
          </w:tcPr>
          <w:p w14:paraId="75DA27A7">
            <w:pPr>
              <w:pStyle w:val="6"/>
              <w:spacing w:beforeAutospacing="0" w:afterAutospacing="0"/>
              <w:rPr>
                <w:rFonts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eastAsia="宋体" w:cs="宋体"/>
                <w:color w:val="000000"/>
                <w:sz w:val="21"/>
                <w:szCs w:val="21"/>
              </w:rPr>
              <w:t>· 炉体上安装有自动送料器，带有密封结构，送料器顶部安装一送料罐，送料罐通过插板阀与送料器相连，送料罐容积为2L </w:t>
            </w:r>
          </w:p>
          <w:p w14:paraId="4D303817">
            <w:pPr>
              <w:pStyle w:val="6"/>
              <w:spacing w:beforeAutospacing="0" w:afterAutospacing="0"/>
              <w:rPr>
                <w:rFonts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eastAsia="宋体" w:cs="宋体"/>
                <w:color w:val="000000"/>
                <w:sz w:val="21"/>
                <w:szCs w:val="21"/>
              </w:rPr>
              <w:t>· 可在惰性气体保护环境下，将粉料送入到炉管内 </w:t>
            </w:r>
          </w:p>
          <w:p w14:paraId="4DE49F19">
            <w:pPr>
              <w:ind w:right="15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· 送料速率可以通过电位计调节</w:t>
            </w:r>
          </w:p>
          <w:p w14:paraId="56B86CA1">
            <w:pPr>
              <w:ind w:right="15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eastAsia="宋体" w:cs="宋体"/>
                <w:szCs w:val="21"/>
              </w:rPr>
              <w:t xml:space="preserve">· </w:t>
            </w:r>
            <w:r>
              <w:rPr>
                <w:rFonts w:ascii="宋体" w:hAnsi="宋体" w:eastAsia="宋体" w:cs="宋体"/>
                <w:szCs w:val="21"/>
              </w:rPr>
              <w:t>最快送料速度</w:t>
            </w:r>
            <w:r>
              <w:rPr>
                <w:rFonts w:hint="eastAsia" w:eastAsia="宋体" w:cs="宋体"/>
                <w:szCs w:val="21"/>
              </w:rPr>
              <w:t>：</w:t>
            </w:r>
            <w:r>
              <w:rPr>
                <w:rFonts w:ascii="宋体" w:hAnsi="宋体" w:eastAsia="宋体" w:cs="宋体"/>
                <w:szCs w:val="21"/>
              </w:rPr>
              <w:t>25ml/min（粉状料）</w:t>
            </w:r>
            <w:r>
              <w:rPr>
                <w:rFonts w:ascii="宋体" w:hAnsi="宋体" w:eastAsia="宋体" w:cs="宋体"/>
                <w:szCs w:val="21"/>
              </w:rPr>
              <w:br w:type="textWrapping"/>
            </w:r>
            <w:r>
              <w:rPr>
                <w:rFonts w:hint="eastAsia" w:eastAsia="宋体" w:cs="宋体"/>
                <w:szCs w:val="21"/>
              </w:rPr>
              <w:t xml:space="preserve">· </w:t>
            </w:r>
            <w:r>
              <w:rPr>
                <w:rFonts w:ascii="宋体" w:hAnsi="宋体" w:eastAsia="宋体" w:cs="宋体"/>
                <w:szCs w:val="21"/>
              </w:rPr>
              <w:t>最慢送料速度</w:t>
            </w:r>
            <w:r>
              <w:rPr>
                <w:rFonts w:hint="eastAsia" w:eastAsia="宋体" w:cs="宋体"/>
                <w:szCs w:val="21"/>
              </w:rPr>
              <w:t>：</w:t>
            </w:r>
            <w:r>
              <w:rPr>
                <w:rFonts w:ascii="宋体" w:hAnsi="宋体" w:eastAsia="宋体" w:cs="宋体"/>
                <w:szCs w:val="21"/>
              </w:rPr>
              <w:t>1ml/min（粉状料）</w:t>
            </w:r>
            <w:r>
              <w:rPr>
                <w:rFonts w:ascii="宋体" w:hAnsi="宋体" w:eastAsia="宋体" w:cs="宋体"/>
                <w:szCs w:val="21"/>
              </w:rPr>
              <w:br w:type="textWrapping"/>
            </w:r>
            <w:r>
              <w:rPr>
                <w:rFonts w:hint="eastAsia" w:eastAsia="宋体" w:cs="宋体"/>
                <w:szCs w:val="21"/>
              </w:rPr>
              <w:t xml:space="preserve">· </w:t>
            </w:r>
            <w:r>
              <w:rPr>
                <w:rFonts w:ascii="宋体" w:hAnsi="宋体" w:eastAsia="宋体" w:cs="宋体"/>
                <w:szCs w:val="21"/>
              </w:rPr>
              <w:t>最大送料粒径</w:t>
            </w:r>
            <w:r>
              <w:rPr>
                <w:rFonts w:hint="eastAsia" w:eastAsia="宋体" w:cs="宋体"/>
                <w:szCs w:val="21"/>
              </w:rPr>
              <w:t>：</w:t>
            </w:r>
            <w:r>
              <w:rPr>
                <w:rFonts w:ascii="宋体" w:hAnsi="宋体" w:eastAsia="宋体" w:cs="宋体"/>
                <w:szCs w:val="21"/>
              </w:rPr>
              <w:t>&lt;Φ0.1mm</w:t>
            </w:r>
          </w:p>
          <w:p w14:paraId="7C2C4190">
            <w:pPr>
              <w:pStyle w:val="6"/>
              <w:spacing w:beforeAutospacing="0" w:afterAutospacing="0"/>
              <w:rPr>
                <w:rFonts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eastAsia="宋体" w:cs="宋体"/>
                <w:color w:val="000000"/>
                <w:sz w:val="21"/>
                <w:szCs w:val="21"/>
              </w:rPr>
              <w:t>· 一个不锈钢收料罐（容积为2L），安装在出料端，收料罐上部安装有手动挡板阀，可以在气氛保护环境下收集处理好的物料</w:t>
            </w:r>
          </w:p>
          <w:p w14:paraId="48DC32CA">
            <w:pPr>
              <w:pStyle w:val="6"/>
              <w:spacing w:beforeAutospacing="0" w:afterAutospacing="0"/>
              <w:rPr>
                <w:rFonts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eastAsia="宋体" w:cs="宋体"/>
                <w:color w:val="000000"/>
                <w:sz w:val="21"/>
                <w:szCs w:val="21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2205355</wp:posOffset>
                  </wp:positionH>
                  <wp:positionV relativeFrom="paragraph">
                    <wp:posOffset>106045</wp:posOffset>
                  </wp:positionV>
                  <wp:extent cx="1224915" cy="1263015"/>
                  <wp:effectExtent l="0" t="0" r="13335" b="13335"/>
                  <wp:wrapNone/>
                  <wp:docPr id="6" name="图片 6" descr="C:\Users\123\Desktop\QQ截图20230524085517.pngQQ截图20230524085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123\Desktop\QQ截图20230524085517.pngQQ截图202305240855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15" cy="126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10"/>
                <w:rFonts w:hint="eastAsia" w:eastAsia="宋体" w:cs="宋体"/>
                <w:b w:val="0"/>
                <w:bCs w:val="0"/>
                <w:color w:val="000000"/>
                <w:sz w:val="21"/>
                <w:szCs w:val="21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60960</wp:posOffset>
                  </wp:positionV>
                  <wp:extent cx="835025" cy="1369695"/>
                  <wp:effectExtent l="0" t="0" r="3175" b="1905"/>
                  <wp:wrapNone/>
                  <wp:docPr id="10" name="图片 10" descr="C:\Users\123\Desktop\QQ截图20230524085529.pngQQ截图20230524085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123\Desktop\QQ截图20230524085529.pngQQ截图2023052408552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136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295446D">
            <w:pPr>
              <w:pStyle w:val="6"/>
              <w:spacing w:beforeAutospacing="0" w:afterAutospacing="0"/>
              <w:rPr>
                <w:rFonts w:eastAsia="宋体" w:cs="宋体"/>
                <w:color w:val="000000"/>
                <w:sz w:val="21"/>
                <w:szCs w:val="21"/>
              </w:rPr>
            </w:pPr>
          </w:p>
          <w:p w14:paraId="736EE9A7">
            <w:pPr>
              <w:pStyle w:val="6"/>
              <w:spacing w:beforeAutospacing="0" w:afterAutospacing="0"/>
              <w:rPr>
                <w:rFonts w:eastAsia="宋体" w:cs="宋体"/>
                <w:color w:val="000000"/>
                <w:sz w:val="21"/>
                <w:szCs w:val="21"/>
              </w:rPr>
            </w:pPr>
          </w:p>
          <w:p w14:paraId="0106A6A1">
            <w:pPr>
              <w:pStyle w:val="6"/>
              <w:spacing w:beforeAutospacing="0" w:afterAutospacing="0"/>
              <w:rPr>
                <w:rFonts w:eastAsia="宋体" w:cs="宋体"/>
                <w:szCs w:val="21"/>
              </w:rPr>
            </w:pPr>
          </w:p>
          <w:p w14:paraId="773324CF">
            <w:pPr>
              <w:pStyle w:val="6"/>
              <w:spacing w:beforeAutospacing="0" w:afterAutospacing="0"/>
              <w:rPr>
                <w:rFonts w:eastAsia="宋体" w:cs="宋体"/>
                <w:szCs w:val="21"/>
              </w:rPr>
            </w:pPr>
          </w:p>
          <w:p w14:paraId="00180D7E">
            <w:pPr>
              <w:pStyle w:val="6"/>
              <w:spacing w:beforeAutospacing="0" w:afterAutospacing="0"/>
              <w:rPr>
                <w:rFonts w:eastAsia="宋体" w:cs="宋体"/>
                <w:szCs w:val="21"/>
              </w:rPr>
            </w:pPr>
          </w:p>
          <w:p w14:paraId="35CA5631">
            <w:pPr>
              <w:pStyle w:val="6"/>
              <w:spacing w:beforeAutospacing="0" w:afterAutospacing="0"/>
              <w:rPr>
                <w:rFonts w:eastAsia="宋体" w:cs="宋体"/>
                <w:szCs w:val="21"/>
              </w:rPr>
            </w:pPr>
          </w:p>
          <w:p w14:paraId="2E597137">
            <w:pPr>
              <w:pStyle w:val="6"/>
              <w:spacing w:beforeAutospacing="0" w:afterAutospacing="0"/>
              <w:rPr>
                <w:rFonts w:eastAsia="宋体" w:cs="宋体"/>
                <w:szCs w:val="21"/>
              </w:rPr>
            </w:pPr>
          </w:p>
        </w:tc>
      </w:tr>
      <w:tr w14:paraId="0BF938B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15" w:type="dxa"/>
            <w:vAlign w:val="center"/>
          </w:tcPr>
          <w:p w14:paraId="4EA720CE"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法兰</w:t>
            </w:r>
          </w:p>
        </w:tc>
        <w:tc>
          <w:tcPr>
            <w:tcW w:w="6895" w:type="dxa"/>
            <w:vAlign w:val="center"/>
          </w:tcPr>
          <w:p w14:paraId="7CA26629">
            <w:pPr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· 采用磁流体与快接法兰密封 </w:t>
            </w:r>
          </w:p>
          <w:p w14:paraId="7D361F3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· 进气端安装了一个机械压力表用于观察炉管内的压力，压力表范围-0.1-0.15MPa；可选配安装数显真空计，一个φ6.35的卡套接头作为进气口使用，并通过一个不锈钢针阀控制进气的通断</w:t>
            </w:r>
          </w:p>
          <w:p w14:paraId="20595A2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· 出气端法兰包含一个φ8mm带宝塔气嘴的出气口，并通过一个通径3mm的球阀控制出气的通断；一个KF25的接口用于抽真空。一个φ6.35的铠装接口可插入毛刷，用于清理炉管内剩余的物料</w:t>
            </w:r>
          </w:p>
          <w:p w14:paraId="1EE5434C">
            <w:pPr>
              <w:rPr>
                <w:rFonts w:ascii="宋体" w:hAnsi="宋体" w:eastAsia="宋体" w:cs="宋体"/>
                <w:szCs w:val="21"/>
              </w:rPr>
            </w:pPr>
            <w:r>
              <w:rPr>
                <w:szCs w:val="21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12065</wp:posOffset>
                  </wp:positionV>
                  <wp:extent cx="1158875" cy="1136015"/>
                  <wp:effectExtent l="0" t="0" r="3175" b="6985"/>
                  <wp:wrapNone/>
                  <wp:docPr id="13" name="图片 5" descr="C:\Users\123\Desktop\QQ截图20230524085648.pngQQ截图20230524085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 descr="C:\Users\123\Desktop\QQ截图20230524085648.pngQQ截图2023052408564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b="6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113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2112010</wp:posOffset>
                  </wp:positionH>
                  <wp:positionV relativeFrom="paragraph">
                    <wp:posOffset>143510</wp:posOffset>
                  </wp:positionV>
                  <wp:extent cx="1915160" cy="981075"/>
                  <wp:effectExtent l="0" t="0" r="8890" b="9525"/>
                  <wp:wrapNone/>
                  <wp:docPr id="20" name="图片 20" descr="C:\Users\123\Desktop\QQ截图20230524085618.pngQQ截图20230524085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\Users\123\Desktop\QQ截图20230524085618.pngQQ截图202305240856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C537102">
            <w:pPr>
              <w:rPr>
                <w:rFonts w:ascii="宋体" w:hAnsi="宋体" w:eastAsia="宋体" w:cs="宋体"/>
                <w:szCs w:val="21"/>
              </w:rPr>
            </w:pPr>
          </w:p>
          <w:p w14:paraId="08232EA0">
            <w:pPr>
              <w:rPr>
                <w:rFonts w:ascii="宋体" w:hAnsi="宋体" w:eastAsia="宋体" w:cs="宋体"/>
                <w:szCs w:val="21"/>
              </w:rPr>
            </w:pPr>
          </w:p>
          <w:p w14:paraId="48C05BE2">
            <w:pPr>
              <w:rPr>
                <w:rFonts w:ascii="宋体" w:hAnsi="宋体" w:eastAsia="宋体" w:cs="宋体"/>
                <w:szCs w:val="21"/>
              </w:rPr>
            </w:pPr>
          </w:p>
          <w:p w14:paraId="1691C9F1"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  <w:p w14:paraId="71FCD80C">
            <w:pPr>
              <w:rPr>
                <w:rFonts w:ascii="宋体" w:hAnsi="宋体" w:eastAsia="宋体" w:cs="宋体"/>
                <w:szCs w:val="21"/>
              </w:rPr>
            </w:pPr>
          </w:p>
        </w:tc>
      </w:tr>
      <w:tr w14:paraId="4F7E51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6" w:hRule="atLeast"/>
        </w:trPr>
        <w:tc>
          <w:tcPr>
            <w:tcW w:w="2315" w:type="dxa"/>
            <w:vAlign w:val="center"/>
          </w:tcPr>
          <w:p w14:paraId="7301EE7D"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炉管</w:t>
            </w:r>
          </w:p>
        </w:tc>
        <w:tc>
          <w:tcPr>
            <w:tcW w:w="6895" w:type="dxa"/>
            <w:vAlign w:val="center"/>
          </w:tcPr>
          <w:p w14:paraId="2C273715">
            <w:pPr>
              <w:tabs>
                <w:tab w:val="left" w:pos="808"/>
              </w:tabs>
              <w:jc w:val="lef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· 标配一根异形石英管，内部焊接有扬料板，使粉料烧结更加均匀（可选配不锈钢管）。炉管尺寸：φ60*1600/φ130*700mm</w:t>
            </w:r>
          </w:p>
          <w:p w14:paraId="7778FC43">
            <w:pPr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· 采用直流电机驱动炉管转动，转速可调（1-10r/min）；</w:t>
            </w:r>
          </w:p>
          <w:p w14:paraId="77729C29">
            <w:pPr>
              <w:rPr>
                <w:rFonts w:ascii="宋体" w:hAnsi="宋体" w:eastAsia="宋体" w:cs="宋体"/>
                <w:szCs w:val="21"/>
              </w:rPr>
            </w:pPr>
            <w:r>
              <w:drawing>
                <wp:anchor distT="0" distB="0" distL="0" distR="0" simplePos="0" relativeHeight="251673600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147955</wp:posOffset>
                  </wp:positionV>
                  <wp:extent cx="2582545" cy="725805"/>
                  <wp:effectExtent l="0" t="0" r="8255" b="17145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 t="18919" b="22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545" cy="72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Cs w:val="21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54610</wp:posOffset>
                  </wp:positionV>
                  <wp:extent cx="556260" cy="917575"/>
                  <wp:effectExtent l="0" t="0" r="15240" b="15875"/>
                  <wp:wrapSquare wrapText="bothSides"/>
                  <wp:docPr id="26" name="图片 26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2DDBA9F">
            <w:pPr>
              <w:rPr>
                <w:rFonts w:ascii="宋体" w:hAnsi="宋体" w:eastAsia="宋体" w:cs="宋体"/>
                <w:szCs w:val="21"/>
              </w:rPr>
            </w:pPr>
          </w:p>
          <w:p w14:paraId="0F4D24A1">
            <w:pPr>
              <w:rPr>
                <w:rFonts w:ascii="宋体" w:hAnsi="宋体" w:eastAsia="宋体" w:cs="宋体"/>
                <w:szCs w:val="21"/>
              </w:rPr>
            </w:pPr>
          </w:p>
          <w:p w14:paraId="1D82F72E">
            <w:pPr>
              <w:rPr>
                <w:rFonts w:ascii="宋体" w:hAnsi="宋体" w:eastAsia="宋体" w:cs="宋体"/>
                <w:szCs w:val="21"/>
              </w:rPr>
            </w:pPr>
          </w:p>
          <w:p w14:paraId="44515D27">
            <w:pPr>
              <w:rPr>
                <w:rFonts w:ascii="宋体" w:hAnsi="宋体" w:eastAsia="宋体" w:cs="宋体"/>
                <w:szCs w:val="21"/>
              </w:rPr>
            </w:pPr>
          </w:p>
          <w:p w14:paraId="006F78EA">
            <w:pPr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· 可放入物料有效容积</w:t>
            </w:r>
            <w:r>
              <w:rPr>
                <w:rFonts w:hint="eastAsia" w:ascii="宋体" w:hAnsi="宋体" w:eastAsia="宋体" w:cs="宋体"/>
                <w:szCs w:val="21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5058410</wp:posOffset>
                  </wp:positionH>
                  <wp:positionV relativeFrom="paragraph">
                    <wp:posOffset>4582795</wp:posOffset>
                  </wp:positionV>
                  <wp:extent cx="1071245" cy="1769745"/>
                  <wp:effectExtent l="0" t="0" r="14605" b="1905"/>
                  <wp:wrapNone/>
                  <wp:docPr id="25" name="图片 23" descr="E:\桌面\说明书\回转炉系统OTF-1200X-5D-R-III-G 2022.2.10\1\图片1.png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3" descr="E:\桌面\说明书\回转炉系统OTF-1200X-5D-R-III-G 2022.2.10\1\图片1.png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45" cy="176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Cs w:val="21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4906010</wp:posOffset>
                  </wp:positionH>
                  <wp:positionV relativeFrom="paragraph">
                    <wp:posOffset>4430395</wp:posOffset>
                  </wp:positionV>
                  <wp:extent cx="1071245" cy="1769745"/>
                  <wp:effectExtent l="0" t="0" r="14605" b="1905"/>
                  <wp:wrapNone/>
                  <wp:docPr id="24" name="图片 22" descr="E:\桌面\说明书\回转炉系统OTF-1200X-5D-R-III-G 2022.2.10\1\图片1.png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2" descr="E:\桌面\说明书\回转炉系统OTF-1200X-5D-R-III-G 2022.2.10\1\图片1.png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45" cy="176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Cs w:val="21"/>
              </w:rPr>
              <w:t>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1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szCs w:val="21"/>
              </w:rPr>
              <w:t>L</w:t>
            </w:r>
          </w:p>
        </w:tc>
      </w:tr>
      <w:tr w14:paraId="5407D0F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3" w:hRule="atLeast"/>
        </w:trPr>
        <w:tc>
          <w:tcPr>
            <w:tcW w:w="2315" w:type="dxa"/>
          </w:tcPr>
          <w:p w14:paraId="3BF70682">
            <w:pPr>
              <w:rPr>
                <w:szCs w:val="21"/>
              </w:rPr>
            </w:pPr>
          </w:p>
          <w:p w14:paraId="0EC1786E">
            <w:pPr>
              <w:jc w:val="center"/>
              <w:rPr>
                <w:szCs w:val="21"/>
              </w:rPr>
            </w:pPr>
          </w:p>
          <w:p w14:paraId="2F35C737">
            <w:pPr>
              <w:rPr>
                <w:szCs w:val="21"/>
              </w:rPr>
            </w:pPr>
          </w:p>
          <w:p w14:paraId="3D2845BF"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/>
                <w:szCs w:val="21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250825</wp:posOffset>
                  </wp:positionV>
                  <wp:extent cx="954405" cy="709295"/>
                  <wp:effectExtent l="0" t="0" r="17145" b="14605"/>
                  <wp:wrapNone/>
                  <wp:docPr id="16" name="图片 16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70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Cs w:val="21"/>
              </w:rPr>
              <w:t>真空系统（选配）</w:t>
            </w:r>
          </w:p>
        </w:tc>
        <w:tc>
          <w:tcPr>
            <w:tcW w:w="6895" w:type="dxa"/>
          </w:tcPr>
          <w:p w14:paraId="4D089624">
            <w:pPr>
              <w:rPr>
                <w:rFonts w:ascii="宋体"/>
                <w:color w:val="000000"/>
                <w:szCs w:val="21"/>
              </w:rPr>
            </w:pPr>
            <w:r>
              <w:rPr>
                <w:rFonts w:hint="eastAsia" w:ascii="宋体"/>
                <w:color w:val="000000"/>
                <w:szCs w:val="21"/>
              </w:rPr>
              <w:t>· 型号：VRD-8</w:t>
            </w:r>
          </w:p>
          <w:p w14:paraId="5D74B02E">
            <w:pPr>
              <w:rPr>
                <w:rFonts w:ascii="宋体"/>
                <w:color w:val="000000"/>
                <w:szCs w:val="21"/>
              </w:rPr>
            </w:pPr>
            <w:r>
              <w:rPr>
                <w:rFonts w:hint="eastAsia" w:ascii="宋体"/>
                <w:color w:val="000000"/>
                <w:szCs w:val="21"/>
              </w:rPr>
              <w:t>· 抽气速率：2.2 L/S</w:t>
            </w:r>
          </w:p>
          <w:p w14:paraId="6097AB07">
            <w:pPr>
              <w:rPr>
                <w:rFonts w:ascii="宋体"/>
                <w:color w:val="000000"/>
                <w:szCs w:val="21"/>
              </w:rPr>
            </w:pPr>
            <w:r>
              <w:rPr>
                <w:rFonts w:hint="eastAsia" w:ascii="宋体"/>
                <w:color w:val="000000"/>
                <w:szCs w:val="21"/>
              </w:rPr>
              <w:t>· 电机功率：370 W</w:t>
            </w:r>
          </w:p>
          <w:p w14:paraId="35890EF9">
            <w:pPr>
              <w:rPr>
                <w:rFonts w:ascii="宋体"/>
                <w:color w:val="000000"/>
                <w:szCs w:val="21"/>
              </w:rPr>
            </w:pPr>
            <w:r>
              <w:rPr>
                <w:rFonts w:hint="eastAsia" w:ascii="宋体"/>
                <w:color w:val="000000"/>
                <w:szCs w:val="21"/>
              </w:rPr>
              <w:t>· 极限压强：5×10</w:t>
            </w:r>
            <w:r>
              <w:rPr>
                <w:rFonts w:hint="eastAsia" w:ascii="宋体"/>
                <w:color w:val="000000"/>
                <w:szCs w:val="21"/>
                <w:vertAlign w:val="superscript"/>
              </w:rPr>
              <w:t>-1</w:t>
            </w:r>
            <w:r>
              <w:rPr>
                <w:rFonts w:hint="eastAsia" w:ascii="宋体"/>
                <w:color w:val="000000"/>
                <w:szCs w:val="21"/>
              </w:rPr>
              <w:t>Pa（不带负载）</w:t>
            </w:r>
          </w:p>
          <w:p w14:paraId="661041B8">
            <w:pPr>
              <w:rPr>
                <w:rFonts w:ascii="宋体"/>
                <w:color w:val="000000"/>
                <w:szCs w:val="21"/>
              </w:rPr>
            </w:pPr>
            <w:r>
              <w:rPr>
                <w:rFonts w:hint="eastAsia" w:ascii="宋体"/>
                <w:color w:val="000000"/>
                <w:szCs w:val="21"/>
              </w:rPr>
              <w:t>· 实际压强：</w:t>
            </w:r>
            <w:r>
              <w:rPr>
                <w:rFonts w:hint="eastAsia" w:asciiTheme="minorEastAsia" w:hAnsiTheme="minorEastAsia"/>
                <w:color w:val="000000"/>
                <w:szCs w:val="21"/>
              </w:rPr>
              <w:t xml:space="preserve">≤5 </w:t>
            </w:r>
            <w:r>
              <w:rPr>
                <w:rFonts w:hint="eastAsia" w:ascii="宋体"/>
                <w:color w:val="000000"/>
                <w:szCs w:val="21"/>
              </w:rPr>
              <w:t>Pa（带上炉管和密封法兰，冷态下机械泵抽20分钟）</w:t>
            </w:r>
          </w:p>
          <w:p w14:paraId="18B612D4">
            <w:pPr>
              <w:pStyle w:val="6"/>
              <w:spacing w:beforeAutospacing="0" w:afterAutospacing="0"/>
              <w:rPr>
                <w:rFonts w:eastAsia="宋体" w:cs="宋体"/>
                <w:sz w:val="21"/>
                <w:szCs w:val="21"/>
              </w:rPr>
            </w:pPr>
            <w:r>
              <w:rPr>
                <w:rFonts w:hint="eastAsia" w:eastAsia="宋体" w:cs="宋体"/>
                <w:sz w:val="21"/>
                <w:szCs w:val="21"/>
              </w:rPr>
              <w:t>· 如果想要获得更高的真空度（10</w:t>
            </w:r>
            <w:r>
              <w:rPr>
                <w:rFonts w:hint="eastAsia" w:eastAsia="宋体" w:cs="宋体"/>
                <w:sz w:val="21"/>
                <w:szCs w:val="21"/>
                <w:vertAlign w:val="superscript"/>
              </w:rPr>
              <w:t>-5</w:t>
            </w:r>
            <w:r>
              <w:rPr>
                <w:rFonts w:hint="eastAsia" w:eastAsia="宋体" w:cs="宋体"/>
                <w:sz w:val="21"/>
                <w:szCs w:val="21"/>
              </w:rPr>
              <w:t>toor or better）可选购国产或进口高真空机组</w:t>
            </w:r>
          </w:p>
          <w:p w14:paraId="1BFD0079">
            <w:pPr>
              <w:pStyle w:val="6"/>
              <w:spacing w:beforeAutospacing="0" w:afterAutospacing="0"/>
              <w:rPr>
                <w:rFonts w:eastAsia="宋体" w:cs="宋体"/>
                <w:szCs w:val="21"/>
              </w:rPr>
            </w:pPr>
            <w:r>
              <w:drawing>
                <wp:inline distT="0" distB="0" distL="0" distR="0">
                  <wp:extent cx="3637915" cy="795655"/>
                  <wp:effectExtent l="0" t="0" r="635" b="4445"/>
                  <wp:docPr id="1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91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E685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4" w:hRule="atLeast"/>
        </w:trPr>
        <w:tc>
          <w:tcPr>
            <w:tcW w:w="2315" w:type="dxa"/>
          </w:tcPr>
          <w:p w14:paraId="4AE75CC1"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外形尺寸</w:t>
            </w:r>
          </w:p>
          <w:p w14:paraId="28DE4297"/>
          <w:p w14:paraId="71AD5299"/>
          <w:p w14:paraId="2146BD2E"/>
          <w:p w14:paraId="31D46275"/>
          <w:p w14:paraId="3BD1E6B0"/>
        </w:tc>
        <w:tc>
          <w:tcPr>
            <w:tcW w:w="6895" w:type="dxa"/>
          </w:tcPr>
          <w:p w14:paraId="7E8BD303">
            <w:pPr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2550mm长*600宽*1500mm高</w:t>
            </w:r>
          </w:p>
          <w:p w14:paraId="552B1B91">
            <w:pPr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44450</wp:posOffset>
                  </wp:positionV>
                  <wp:extent cx="1113155" cy="915035"/>
                  <wp:effectExtent l="0" t="0" r="10795" b="18415"/>
                  <wp:wrapNone/>
                  <wp:docPr id="4" name="图片 4" descr="C:\Users\123\Desktop\QQ截图20230524085435.pngQQ截图20230524085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123\Desktop\QQ截图20230524085435.pngQQ截图2023052408543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55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1CD5EB7">
            <w:pPr>
              <w:rPr>
                <w:rFonts w:ascii="宋体" w:hAnsi="宋体" w:eastAsia="宋体" w:cs="宋体"/>
                <w:szCs w:val="21"/>
              </w:rPr>
            </w:pPr>
          </w:p>
          <w:p w14:paraId="6EB798E6">
            <w:pPr>
              <w:rPr>
                <w:rFonts w:ascii="宋体" w:hAnsi="宋体" w:eastAsia="宋体" w:cs="宋体"/>
                <w:szCs w:val="21"/>
              </w:rPr>
            </w:pPr>
          </w:p>
          <w:p w14:paraId="1471AAAA">
            <w:pPr>
              <w:rPr>
                <w:rFonts w:ascii="宋体" w:hAnsi="宋体" w:eastAsia="宋体" w:cs="宋体"/>
                <w:szCs w:val="21"/>
              </w:rPr>
            </w:pPr>
          </w:p>
          <w:p w14:paraId="67AD0004">
            <w:pPr>
              <w:rPr>
                <w:rFonts w:ascii="宋体" w:hAnsi="宋体" w:eastAsia="宋体" w:cs="宋体"/>
                <w:szCs w:val="21"/>
              </w:rPr>
            </w:pPr>
          </w:p>
        </w:tc>
      </w:tr>
      <w:tr w14:paraId="4B0415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5" w:type="dxa"/>
          </w:tcPr>
          <w:p w14:paraId="109C567F"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重量</w:t>
            </w:r>
          </w:p>
        </w:tc>
        <w:tc>
          <w:tcPr>
            <w:tcW w:w="6895" w:type="dxa"/>
          </w:tcPr>
          <w:p w14:paraId="58AEF544">
            <w:pPr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约230KG</w:t>
            </w:r>
          </w:p>
        </w:tc>
      </w:tr>
      <w:tr w14:paraId="274B77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5" w:type="dxa"/>
          </w:tcPr>
          <w:p w14:paraId="76AE747B"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保质期</w:t>
            </w:r>
          </w:p>
        </w:tc>
        <w:tc>
          <w:tcPr>
            <w:tcW w:w="6895" w:type="dxa"/>
          </w:tcPr>
          <w:p w14:paraId="1DB797E9">
            <w:pPr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1年（不包含炉管、O型圈、加热元件等损耗件）</w:t>
            </w:r>
          </w:p>
        </w:tc>
      </w:tr>
      <w:tr w14:paraId="21F571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5" w:type="dxa"/>
          </w:tcPr>
          <w:p w14:paraId="1538EE86">
            <w:pPr>
              <w:jc w:val="center"/>
              <w:rPr>
                <w:rFonts w:ascii="宋体" w:hAnsi="宋体" w:eastAsia="宋体" w:cs="宋体"/>
                <w:color w:val="C00000"/>
                <w:szCs w:val="21"/>
              </w:rPr>
            </w:pPr>
          </w:p>
          <w:p w14:paraId="44234367">
            <w:pPr>
              <w:jc w:val="center"/>
              <w:rPr>
                <w:rFonts w:ascii="宋体" w:hAnsi="宋体" w:eastAsia="宋体" w:cs="宋体"/>
                <w:color w:val="C00000"/>
                <w:szCs w:val="21"/>
              </w:rPr>
            </w:pPr>
          </w:p>
          <w:p w14:paraId="17DD8D27">
            <w:pPr>
              <w:jc w:val="center"/>
              <w:rPr>
                <w:rFonts w:ascii="宋体" w:hAnsi="宋体" w:eastAsia="宋体" w:cs="宋体"/>
                <w:color w:val="C00000"/>
                <w:szCs w:val="21"/>
              </w:rPr>
            </w:pPr>
          </w:p>
          <w:p w14:paraId="297CD6A1">
            <w:pPr>
              <w:jc w:val="center"/>
              <w:rPr>
                <w:rFonts w:ascii="宋体" w:hAnsi="宋体" w:eastAsia="宋体" w:cs="宋体"/>
                <w:color w:val="C00000"/>
                <w:szCs w:val="21"/>
              </w:rPr>
            </w:pPr>
          </w:p>
          <w:p w14:paraId="3542A093">
            <w:pPr>
              <w:jc w:val="center"/>
              <w:rPr>
                <w:rFonts w:ascii="宋体" w:hAnsi="宋体" w:eastAsia="宋体" w:cs="宋体"/>
                <w:color w:val="C00000"/>
                <w:szCs w:val="21"/>
              </w:rPr>
            </w:pPr>
            <w:r>
              <w:rPr>
                <w:rFonts w:hint="eastAsia" w:ascii="宋体" w:hAnsi="宋体" w:eastAsia="宋体" w:cs="宋体"/>
                <w:color w:val="C00000"/>
                <w:szCs w:val="21"/>
              </w:rPr>
              <w:t>使用注意事项</w:t>
            </w:r>
          </w:p>
        </w:tc>
        <w:tc>
          <w:tcPr>
            <w:tcW w:w="6895" w:type="dxa"/>
          </w:tcPr>
          <w:p w14:paraId="5817092F">
            <w:pPr>
              <w:rPr>
                <w:rFonts w:ascii="宋体" w:hAnsi="宋体" w:eastAsia="宋体" w:cs="宋体"/>
                <w:color w:val="C00000"/>
                <w:szCs w:val="21"/>
              </w:rPr>
            </w:pPr>
            <w:r>
              <w:rPr>
                <w:rFonts w:hint="eastAsia" w:ascii="宋体" w:hAnsi="宋体" w:eastAsia="宋体" w:cs="宋体"/>
                <w:color w:val="C00000"/>
                <w:szCs w:val="21"/>
              </w:rPr>
              <w:t>· 石英管内的气压不可高于0.02MPa；</w:t>
            </w:r>
          </w:p>
          <w:p w14:paraId="06C82B7E">
            <w:pPr>
              <w:rPr>
                <w:rFonts w:ascii="宋体" w:hAnsi="宋体" w:eastAsia="宋体" w:cs="宋体"/>
                <w:color w:val="C00000"/>
                <w:szCs w:val="21"/>
              </w:rPr>
            </w:pPr>
            <w:r>
              <w:rPr>
                <w:rFonts w:hint="eastAsia" w:ascii="宋体" w:hAnsi="宋体" w:eastAsia="宋体" w:cs="宋体"/>
                <w:color w:val="C00000"/>
                <w:szCs w:val="21"/>
              </w:rPr>
              <w:t>· 气瓶上必须安装减压阀；</w:t>
            </w:r>
          </w:p>
          <w:p w14:paraId="483924F7">
            <w:pPr>
              <w:rPr>
                <w:rFonts w:ascii="宋体" w:hAnsi="宋体" w:eastAsia="宋体" w:cs="宋体"/>
                <w:color w:val="C00000"/>
                <w:szCs w:val="21"/>
              </w:rPr>
            </w:pPr>
            <w:r>
              <w:rPr>
                <w:rFonts w:hint="eastAsia" w:ascii="宋体" w:hAnsi="宋体" w:eastAsia="宋体" w:cs="宋体"/>
                <w:color w:val="C00000"/>
                <w:szCs w:val="21"/>
              </w:rPr>
              <w:t>· 对于样品加热的实验，不建议关闭炉管法兰端的抽气阀和进气阀使用。若需要关闭气阀对样品加热，则需时刻关注压力表的示数，若气压表示数大于0.02MPa，必须立刻打开出气阀，以防意外发生（如炉管破裂，法兰飞出等）</w:t>
            </w:r>
          </w:p>
          <w:p w14:paraId="534BE74E">
            <w:pPr>
              <w:rPr>
                <w:rFonts w:ascii="宋体" w:hAnsi="宋体" w:eastAsia="宋体" w:cs="宋体"/>
                <w:color w:val="C00000"/>
                <w:szCs w:val="21"/>
              </w:rPr>
            </w:pPr>
            <w:r>
              <w:rPr>
                <w:rFonts w:hint="eastAsia" w:ascii="宋体" w:hAnsi="宋体" w:eastAsia="宋体" w:cs="宋体"/>
                <w:color w:val="C00000"/>
                <w:szCs w:val="21"/>
              </w:rPr>
              <w:t>· 我们不建议客户使用易燃易爆和有毒的气体，如果客户工艺原因确实需要使用易燃易爆和有毒气体，请客户自行做好相关防护和防爆措施。由于使用易燃易爆和有毒气体而造成的相关问题，本公司概不负责。</w:t>
            </w:r>
          </w:p>
        </w:tc>
      </w:tr>
    </w:tbl>
    <w:p w14:paraId="600D577C">
      <w:pPr>
        <w:rPr>
          <w:rFonts w:asciiTheme="minorEastAsia" w:hAnsiTheme="minorEastAsia"/>
          <w:b/>
          <w:sz w:val="30"/>
          <w:szCs w:val="30"/>
          <w:shd w:val="pct10" w:color="auto" w:fill="FFFFFF"/>
        </w:rPr>
      </w:pPr>
    </w:p>
    <w:p w14:paraId="7AE217AB">
      <w:pPr>
        <w:ind w:firstLine="3012" w:firstLineChars="1000"/>
        <w:rPr>
          <w:rFonts w:asciiTheme="minorEastAsia" w:hAnsiTheme="minorEastAsia"/>
          <w:b/>
          <w:sz w:val="30"/>
          <w:szCs w:val="30"/>
          <w:shd w:val="pct10" w:color="auto" w:fill="FFFFFF"/>
        </w:rPr>
      </w:pPr>
    </w:p>
    <w:p w14:paraId="4EB30357">
      <w:pPr>
        <w:ind w:firstLine="3012" w:firstLineChars="1000"/>
        <w:rPr>
          <w:rFonts w:asciiTheme="minorEastAsia" w:hAnsiTheme="minorEastAsia"/>
          <w:b/>
          <w:sz w:val="30"/>
          <w:szCs w:val="30"/>
          <w:shd w:val="pct10" w:color="auto" w:fill="FFFFFF"/>
        </w:rPr>
      </w:pPr>
    </w:p>
    <w:p w14:paraId="44940323">
      <w:pPr>
        <w:ind w:firstLine="3012" w:firstLineChars="1000"/>
        <w:rPr>
          <w:rFonts w:asciiTheme="minorEastAsia" w:hAnsiTheme="minorEastAsia"/>
          <w:b/>
          <w:sz w:val="30"/>
          <w:szCs w:val="30"/>
          <w:shd w:val="pct10" w:color="auto" w:fill="FFFFFF"/>
        </w:rPr>
      </w:pPr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CD739A">
    <w:pPr>
      <w:pStyle w:val="4"/>
      <w:rPr>
        <w:b/>
      </w:rPr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134620</wp:posOffset>
              </wp:positionH>
              <wp:positionV relativeFrom="paragraph">
                <wp:posOffset>-74930</wp:posOffset>
              </wp:positionV>
              <wp:extent cx="5000625" cy="0"/>
              <wp:effectExtent l="0" t="0" r="0" b="0"/>
              <wp:wrapNone/>
              <wp:docPr id="11" name="自选图形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00625" cy="0"/>
                      </a:xfrm>
                      <a:prstGeom prst="straightConnector1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自选图形 10" o:spid="_x0000_s1026" o:spt="32" type="#_x0000_t32" style="position:absolute;left:0pt;margin-left:10.6pt;margin-top:-5.9pt;height:0pt;width:393.75pt;z-index:251663360;mso-width-relative:page;mso-height-relative:page;" filled="f" stroked="t" coordsize="21600,21600" o:gfxdata="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IMwy7zWAAAACgEAAA8AAAAAAAAAAQAgAAAAIgAAAGRycy9kb3ducmV2LnhtbFBLAQIUABQA&#10;AAAIAIdO4kCej3cC8gEAAOUDAAAOAAAAAAAAAAEAIAAAACUBAABkcnMvZTJvRG9jLnhtbFBLBQYA&#10;AAAABgAGAFkBAACJBQAAAAA=&#10;">
              <v:fill on="f" focussize="0,0"/>
              <v:stroke color="#000000" joinstyle="round"/>
              <v:imagedata o:title=""/>
              <o:lock v:ext="edit" aspectratio="f"/>
            </v:shape>
          </w:pict>
        </mc:Fallback>
      </mc:AlternateContent>
    </w:r>
    <w:r>
      <w:rPr>
        <w:rFonts w:hint="eastAsia"/>
        <w:b/>
      </w:rPr>
      <w:t xml:space="preserve">                                    </w:t>
    </w:r>
    <w:r>
      <w:rPr>
        <w:b/>
      </w:rPr>
      <w:t>科学领航，技术</w:t>
    </w:r>
    <w:r>
      <w:rPr>
        <w:rFonts w:hint="eastAsia"/>
        <w:b/>
      </w:rPr>
      <w:t>结</w:t>
    </w:r>
    <w:r>
      <w:rPr>
        <w:b/>
      </w:rPr>
      <w:t>晶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69C45D">
    <w:pPr>
      <w:pStyle w:val="5"/>
      <w:rPr>
        <w:b/>
        <w:color w:val="1F497D" w:themeColor="text2"/>
        <w:sz w:val="21"/>
        <w:szCs w:val="21"/>
        <w14:textFill>
          <w14:solidFill>
            <w14:schemeClr w14:val="tx2"/>
          </w14:solidFill>
        </w14:textFill>
      </w:rPr>
    </w:pPr>
    <w:r>
      <w:rPr>
        <w:rFonts w:hint="eastAsia"/>
        <w:b/>
        <w:color w:val="1F497D" w:themeColor="text2"/>
        <w:sz w:val="21"/>
        <w:szCs w:val="21"/>
        <w14:textFill>
          <w14:solidFill>
            <w14:schemeClr w14:val="tx2"/>
          </w14:solidFill>
        </w14:textFill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66675</wp:posOffset>
          </wp:positionH>
          <wp:positionV relativeFrom="paragraph">
            <wp:posOffset>-35560</wp:posOffset>
          </wp:positionV>
          <wp:extent cx="1381125" cy="361950"/>
          <wp:effectExtent l="19050" t="0" r="9525" b="0"/>
          <wp:wrapNone/>
          <wp:docPr id="3" name="图片 1" descr="C:\Users\ADMINI~1\AppData\Local\Temp\WeChat Files\f5feeaa3f3a5bca1ebfa0f0afeee1f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1" descr="C:\Users\ADMINI~1\AppData\Local\Temp\WeChat Files\f5feeaa3f3a5bca1ebfa0f0afeee1f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1125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  <w:b/>
        <w:color w:val="1F497D" w:themeColor="text2"/>
        <w:sz w:val="21"/>
        <w:szCs w:val="21"/>
        <w14:textFill>
          <w14:solidFill>
            <w14:schemeClr w14:val="tx2"/>
          </w14:solidFill>
        </w14:textFill>
      </w:rPr>
      <w:t xml:space="preserve">                HE FEI KE JING MATERIALS TECHNOLOGY CO.,LTD</w:t>
    </w:r>
  </w:p>
  <w:p w14:paraId="349EF3F6">
    <w:pPr>
      <w:pStyle w:val="5"/>
      <w:rPr>
        <w:shd w:val="pct10" w:color="auto" w:fill="FFFFFF"/>
      </w:rPr>
    </w:pPr>
    <w:r>
      <w:rPr>
        <w:b/>
        <w:color w:val="1F497D" w:themeColor="text2"/>
        <w:sz w:val="21"/>
        <w:szCs w:val="21"/>
        <w14:textFill>
          <w14:solidFill>
            <w14:schemeClr w14:val="tx2"/>
          </w14:solidFill>
        </w14:textFill>
      </w:rPr>
      <w:pict>
        <v:shape id="PowerPlusWaterMarkObject12869085" o:spid="_x0000_s1033" o:spt="136" type="#_x0000_t136" style="position:absolute;left:0pt;height:117.1pt;width:468.4pt;mso-position-horizontal:center;mso-position-horizontal-relative:margin;mso-position-vertical:center;mso-position-vertical-relative:margin;rotation:20643840f;z-index:-251654144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合肥科晶" style="font-family:宋体;font-size:1pt;v-text-align:center;"/>
        </v:shape>
      </w:pict>
    </w:r>
    <w:r>
      <w:rPr>
        <w:rFonts w:hint="eastAsia"/>
        <w:b/>
        <w:color w:val="1F497D" w:themeColor="text2"/>
        <w:sz w:val="21"/>
        <w:szCs w:val="21"/>
        <w14:textFill>
          <w14:solidFill>
            <w14:schemeClr w14:val="tx2"/>
          </w14:solidFill>
        </w14:textFill>
      </w:rPr>
      <w:t xml:space="preserve">                </w:t>
    </w:r>
    <w:r>
      <w:rPr>
        <w:b/>
        <w:color w:val="1F497D" w:themeColor="text2"/>
        <w:sz w:val="21"/>
        <w:szCs w:val="21"/>
        <w14:textFill>
          <w14:solidFill>
            <w14:schemeClr w14:val="tx2"/>
          </w14:solidFill>
        </w14:textFill>
      </w:rPr>
      <w:t>合肥科晶材料技术有限公司</w:t>
    </w:r>
    <w:r>
      <w:rPr>
        <w:rFonts w:hint="eastAsia"/>
        <w:b/>
        <w:color w:val="1F497D" w:themeColor="text2"/>
        <w:sz w:val="21"/>
        <w:szCs w:val="21"/>
        <w14:textFill>
          <w14:solidFill>
            <w14:schemeClr w14:val="tx2"/>
          </w14:solidFill>
        </w14:textFill>
      </w:rPr>
      <w:t xml:space="preserve">   www.kjmti.com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28F238">
    <w:r>
      <w:cr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2037B9">
    <w:pPr>
      <w:pStyle w:val="5"/>
    </w:pPr>
    <w:r>
      <w:pict>
        <v:shape id="PowerPlusWaterMarkObject12869084" o:spid="_x0000_s1032" o:spt="136" type="#_x0000_t136" style="position:absolute;left:0pt;height:117.1pt;width:468.4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合肥科晶" style="font-family:宋体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Q3NTdkMjI5ZmZjYzRjOWNiMTdlODg0MmEyNTcyMWQifQ=="/>
  </w:docVars>
  <w:rsids>
    <w:rsidRoot w:val="00C501B4"/>
    <w:rsid w:val="0003404B"/>
    <w:rsid w:val="00055682"/>
    <w:rsid w:val="00066219"/>
    <w:rsid w:val="00066293"/>
    <w:rsid w:val="000725E7"/>
    <w:rsid w:val="000A0B52"/>
    <w:rsid w:val="000B5983"/>
    <w:rsid w:val="000D4FC1"/>
    <w:rsid w:val="000E50EA"/>
    <w:rsid w:val="00103148"/>
    <w:rsid w:val="00107BE1"/>
    <w:rsid w:val="00124B8D"/>
    <w:rsid w:val="0013671E"/>
    <w:rsid w:val="00172042"/>
    <w:rsid w:val="00192325"/>
    <w:rsid w:val="001C4D4B"/>
    <w:rsid w:val="001F631B"/>
    <w:rsid w:val="00224E6A"/>
    <w:rsid w:val="00232160"/>
    <w:rsid w:val="002449E5"/>
    <w:rsid w:val="002757A9"/>
    <w:rsid w:val="00287D24"/>
    <w:rsid w:val="00302011"/>
    <w:rsid w:val="003355C9"/>
    <w:rsid w:val="00380C59"/>
    <w:rsid w:val="0038788A"/>
    <w:rsid w:val="003A3CCB"/>
    <w:rsid w:val="003D53A4"/>
    <w:rsid w:val="003F1FB3"/>
    <w:rsid w:val="003F5ECA"/>
    <w:rsid w:val="004002E8"/>
    <w:rsid w:val="004012EF"/>
    <w:rsid w:val="00406DD5"/>
    <w:rsid w:val="00415A3B"/>
    <w:rsid w:val="00465B1B"/>
    <w:rsid w:val="00474F36"/>
    <w:rsid w:val="00481453"/>
    <w:rsid w:val="00481F3A"/>
    <w:rsid w:val="00482B95"/>
    <w:rsid w:val="0048713A"/>
    <w:rsid w:val="004A02EF"/>
    <w:rsid w:val="004C55FC"/>
    <w:rsid w:val="004E599E"/>
    <w:rsid w:val="004F0CB4"/>
    <w:rsid w:val="004F7A7B"/>
    <w:rsid w:val="00504D5C"/>
    <w:rsid w:val="005142D5"/>
    <w:rsid w:val="00532256"/>
    <w:rsid w:val="00542010"/>
    <w:rsid w:val="00542256"/>
    <w:rsid w:val="00595D5D"/>
    <w:rsid w:val="005B7B9D"/>
    <w:rsid w:val="005D35B9"/>
    <w:rsid w:val="005D622E"/>
    <w:rsid w:val="005D7F13"/>
    <w:rsid w:val="006045C8"/>
    <w:rsid w:val="00604CFF"/>
    <w:rsid w:val="00607F55"/>
    <w:rsid w:val="00620E95"/>
    <w:rsid w:val="00623234"/>
    <w:rsid w:val="006233AB"/>
    <w:rsid w:val="00647033"/>
    <w:rsid w:val="006654BC"/>
    <w:rsid w:val="00667E4C"/>
    <w:rsid w:val="00691455"/>
    <w:rsid w:val="006F11E0"/>
    <w:rsid w:val="006F51F1"/>
    <w:rsid w:val="00701AD1"/>
    <w:rsid w:val="00706224"/>
    <w:rsid w:val="00720396"/>
    <w:rsid w:val="0072440D"/>
    <w:rsid w:val="0073417C"/>
    <w:rsid w:val="00734861"/>
    <w:rsid w:val="007A5407"/>
    <w:rsid w:val="007D1C89"/>
    <w:rsid w:val="00805709"/>
    <w:rsid w:val="008572A0"/>
    <w:rsid w:val="008C289C"/>
    <w:rsid w:val="008D2401"/>
    <w:rsid w:val="008E0868"/>
    <w:rsid w:val="009106B0"/>
    <w:rsid w:val="00911ABF"/>
    <w:rsid w:val="009463A5"/>
    <w:rsid w:val="009477BD"/>
    <w:rsid w:val="009C310D"/>
    <w:rsid w:val="009E76F0"/>
    <w:rsid w:val="009F3030"/>
    <w:rsid w:val="00A06062"/>
    <w:rsid w:val="00A30C40"/>
    <w:rsid w:val="00A403CC"/>
    <w:rsid w:val="00A66982"/>
    <w:rsid w:val="00AA7FC2"/>
    <w:rsid w:val="00AC13D9"/>
    <w:rsid w:val="00AC7EF0"/>
    <w:rsid w:val="00AE6044"/>
    <w:rsid w:val="00B04CB6"/>
    <w:rsid w:val="00B15D32"/>
    <w:rsid w:val="00B314B9"/>
    <w:rsid w:val="00B51F0F"/>
    <w:rsid w:val="00BC50A0"/>
    <w:rsid w:val="00BC7588"/>
    <w:rsid w:val="00BC75FE"/>
    <w:rsid w:val="00C12B91"/>
    <w:rsid w:val="00C13E74"/>
    <w:rsid w:val="00C15135"/>
    <w:rsid w:val="00C21D47"/>
    <w:rsid w:val="00C24BEA"/>
    <w:rsid w:val="00C32D40"/>
    <w:rsid w:val="00C403EB"/>
    <w:rsid w:val="00C47A33"/>
    <w:rsid w:val="00C501B4"/>
    <w:rsid w:val="00C5651E"/>
    <w:rsid w:val="00C72401"/>
    <w:rsid w:val="00C84BD5"/>
    <w:rsid w:val="00CA05C0"/>
    <w:rsid w:val="00CA1C0A"/>
    <w:rsid w:val="00CB0D91"/>
    <w:rsid w:val="00CB378C"/>
    <w:rsid w:val="00CC0314"/>
    <w:rsid w:val="00CC78DE"/>
    <w:rsid w:val="00CC7A9E"/>
    <w:rsid w:val="00CE4700"/>
    <w:rsid w:val="00CF3A61"/>
    <w:rsid w:val="00CF7DEE"/>
    <w:rsid w:val="00D17B49"/>
    <w:rsid w:val="00D37D87"/>
    <w:rsid w:val="00D537FF"/>
    <w:rsid w:val="00D6200E"/>
    <w:rsid w:val="00D76256"/>
    <w:rsid w:val="00D86E18"/>
    <w:rsid w:val="00DC15A8"/>
    <w:rsid w:val="00DC2E02"/>
    <w:rsid w:val="00DD00B7"/>
    <w:rsid w:val="00DD740B"/>
    <w:rsid w:val="00E031AC"/>
    <w:rsid w:val="00E34B17"/>
    <w:rsid w:val="00E34D04"/>
    <w:rsid w:val="00E70BF4"/>
    <w:rsid w:val="00E76059"/>
    <w:rsid w:val="00E84E4B"/>
    <w:rsid w:val="00EA4F5C"/>
    <w:rsid w:val="00F13159"/>
    <w:rsid w:val="00F166C6"/>
    <w:rsid w:val="00F477D1"/>
    <w:rsid w:val="00F63BCB"/>
    <w:rsid w:val="00F674AE"/>
    <w:rsid w:val="00F834E7"/>
    <w:rsid w:val="00F94C3B"/>
    <w:rsid w:val="00FA6127"/>
    <w:rsid w:val="00FA7F92"/>
    <w:rsid w:val="00FC2FDB"/>
    <w:rsid w:val="00FD17D3"/>
    <w:rsid w:val="01B71398"/>
    <w:rsid w:val="03237D85"/>
    <w:rsid w:val="0563090D"/>
    <w:rsid w:val="085223DE"/>
    <w:rsid w:val="094B251D"/>
    <w:rsid w:val="0ACB2F54"/>
    <w:rsid w:val="12D44C9E"/>
    <w:rsid w:val="12EC7714"/>
    <w:rsid w:val="149E553A"/>
    <w:rsid w:val="15A6296A"/>
    <w:rsid w:val="1787524F"/>
    <w:rsid w:val="18940941"/>
    <w:rsid w:val="1A044015"/>
    <w:rsid w:val="1A5F57ED"/>
    <w:rsid w:val="1BD56852"/>
    <w:rsid w:val="1C773C9F"/>
    <w:rsid w:val="1F282554"/>
    <w:rsid w:val="21014944"/>
    <w:rsid w:val="272D25E6"/>
    <w:rsid w:val="28141D72"/>
    <w:rsid w:val="2A994A57"/>
    <w:rsid w:val="2E620E5D"/>
    <w:rsid w:val="2FC260AC"/>
    <w:rsid w:val="31B94762"/>
    <w:rsid w:val="32042BC2"/>
    <w:rsid w:val="33DA6B23"/>
    <w:rsid w:val="34717111"/>
    <w:rsid w:val="34745876"/>
    <w:rsid w:val="35415E19"/>
    <w:rsid w:val="3609758F"/>
    <w:rsid w:val="37CD130A"/>
    <w:rsid w:val="38C404F8"/>
    <w:rsid w:val="3AEB7A79"/>
    <w:rsid w:val="3BFA72BE"/>
    <w:rsid w:val="3C6F2659"/>
    <w:rsid w:val="3CD15B81"/>
    <w:rsid w:val="3E2D08D3"/>
    <w:rsid w:val="3E311322"/>
    <w:rsid w:val="3E8A599F"/>
    <w:rsid w:val="3ED27527"/>
    <w:rsid w:val="3F0B0303"/>
    <w:rsid w:val="3F957B8F"/>
    <w:rsid w:val="3FAA42E4"/>
    <w:rsid w:val="3FC04392"/>
    <w:rsid w:val="404A00DF"/>
    <w:rsid w:val="40921610"/>
    <w:rsid w:val="43440F2C"/>
    <w:rsid w:val="45572E05"/>
    <w:rsid w:val="45AD1936"/>
    <w:rsid w:val="45DA3B61"/>
    <w:rsid w:val="465404F1"/>
    <w:rsid w:val="46604489"/>
    <w:rsid w:val="47D24D0F"/>
    <w:rsid w:val="48AD011A"/>
    <w:rsid w:val="4A5325B4"/>
    <w:rsid w:val="4B831C68"/>
    <w:rsid w:val="4CC50B32"/>
    <w:rsid w:val="4CD81BD5"/>
    <w:rsid w:val="4D9D6FEF"/>
    <w:rsid w:val="4F7C70C8"/>
    <w:rsid w:val="52FE3BEC"/>
    <w:rsid w:val="5451404B"/>
    <w:rsid w:val="56A476A7"/>
    <w:rsid w:val="56AC09C4"/>
    <w:rsid w:val="56C61BC6"/>
    <w:rsid w:val="580A75B8"/>
    <w:rsid w:val="5B454209"/>
    <w:rsid w:val="5C4A309D"/>
    <w:rsid w:val="5E0700FD"/>
    <w:rsid w:val="5F1C69F1"/>
    <w:rsid w:val="61714E31"/>
    <w:rsid w:val="64C66840"/>
    <w:rsid w:val="6830355A"/>
    <w:rsid w:val="68435FE1"/>
    <w:rsid w:val="6A785524"/>
    <w:rsid w:val="6AD01723"/>
    <w:rsid w:val="6B5E07F3"/>
    <w:rsid w:val="6D487572"/>
    <w:rsid w:val="705E627C"/>
    <w:rsid w:val="74F54C93"/>
    <w:rsid w:val="76AA29C3"/>
    <w:rsid w:val="76DA2301"/>
    <w:rsid w:val="7C165B62"/>
    <w:rsid w:val="7C47141B"/>
    <w:rsid w:val="7CF26BE0"/>
    <w:rsid w:val="7D98532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Autospacing="1" w:afterAutospacing="1"/>
      <w:jc w:val="left"/>
    </w:pPr>
    <w:rPr>
      <w:rFonts w:ascii="宋体" w:hAnsi="宋体"/>
      <w:kern w:val="0"/>
      <w:sz w:val="24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styleId="12">
    <w:name w:val="Intense Quote"/>
    <w:basedOn w:val="1"/>
    <w:next w:val="1"/>
    <w:link w:val="13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3">
    <w:name w:val="明显引用 字符"/>
    <w:basedOn w:val="9"/>
    <w:link w:val="12"/>
    <w:qFormat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">
    <w:name w:val="页眉 字符"/>
    <w:basedOn w:val="9"/>
    <w:link w:val="5"/>
    <w:semiHidden/>
    <w:qFormat/>
    <w:uiPriority w:val="99"/>
    <w:rPr>
      <w:sz w:val="18"/>
      <w:szCs w:val="18"/>
    </w:rPr>
  </w:style>
  <w:style w:type="character" w:customStyle="1" w:styleId="15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6">
    <w:name w:val="批注框文本 字符"/>
    <w:basedOn w:val="9"/>
    <w:link w:val="3"/>
    <w:semiHidden/>
    <w:qFormat/>
    <w:uiPriority w:val="99"/>
    <w:rPr>
      <w:sz w:val="18"/>
      <w:szCs w:val="18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fontstyle01"/>
    <w:basedOn w:val="9"/>
    <w:qFormat/>
    <w:uiPriority w:val="0"/>
    <w:rPr>
      <w:rFonts w:hint="eastAsia" w:ascii="宋体" w:hAnsi="宋体" w:eastAsia="宋体"/>
      <w:color w:val="00000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33"/>
    <customShpInfo spid="_x0000_s1032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3</Pages>
  <Words>1206</Words>
  <Characters>1454</Characters>
  <Lines>11</Lines>
  <Paragraphs>3</Paragraphs>
  <TotalTime>17</TotalTime>
  <ScaleCrop>false</ScaleCrop>
  <LinksUpToDate>false</LinksUpToDate>
  <CharactersWithSpaces>1516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2023-07-11T05:44:00Z</dcterms:created>
  <dc:creator>Administrator</dc:creator>
  <cp:lastModifiedBy>如沐春风</cp:lastModifiedBy>
  <dcterms:modified xsi:type="dcterms:W3CDTF">2026-05-11T09:08:31Z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C2D51880529248469963181D21DE6EB4</vt:lpwstr>
  </property>
  <property fmtid="{D5CDD505-2E9C-101B-9397-08002B2CF9AE}" pid="4" name="KSOTemplateDocerSaveRecord">
    <vt:lpwstr>eyJoZGlkIjoiYjJjNGMzOGZiZGJlYjI4NGM4MDUyMDc4YjNhMTViNTAiLCJ1c2VySWQiOiI4MjQzNDk1MjMifQ==</vt:lpwstr>
  </property>
</Properties>
</file>