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电子天平 PMK124ZH技术规格书</w:t>
      </w:r>
    </w:p>
    <w:p>
      <w:pPr>
        <w:jc w:val="center"/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1113155</wp:posOffset>
            </wp:positionH>
            <wp:positionV relativeFrom="paragraph">
              <wp:posOffset>104140</wp:posOffset>
            </wp:positionV>
            <wp:extent cx="3034665" cy="1984375"/>
            <wp:effectExtent l="0" t="0" r="13335" b="15875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4665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电子天平，广泛应用于实验室、工业和教育领域。不仅可以满足您的称重需求，且性能优异，称重精准，价格实惠、操作便捷；双行显示，直观读取称量结果、菜单信息及操作提示；标配USB和RS232通讯接口，天平通讯便利。</w:t>
      </w:r>
    </w:p>
    <w:p>
      <w:pPr>
        <w:bidi w:val="0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bidi w:val="0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技术参数：</w:t>
      </w:r>
    </w:p>
    <w:tbl>
      <w:tblPr>
        <w:tblStyle w:val="8"/>
        <w:tblW w:w="8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4"/>
        <w:gridCol w:w="7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4" w:type="dxa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产品特点</w:t>
            </w:r>
          </w:p>
        </w:tc>
        <w:tc>
          <w:tcPr>
            <w:tcW w:w="7035" w:type="dxa"/>
          </w:tcPr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称量精准，经济实用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压铸金属基座，不锈钢秤盘，打造出坚固耐用的通用型天平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显示屏双行显示，第二行可显示天平中文操作提示，用户无需参照说明书即可操作天平；称量室上方自带红色ESR静电消除条，独特的除静电设计，确保天平称量准确；</w:t>
            </w:r>
          </w:p>
          <w:p>
            <w:pPr>
              <w:bidi w:val="0"/>
              <w:spacing w:line="240" w:lineRule="auto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量程条显示称量进度；天平配备的标准USB和RS232接口，数据通讯更便捷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4" w:type="dxa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基本参数</w:t>
            </w:r>
          </w:p>
        </w:tc>
        <w:tc>
          <w:tcPr>
            <w:tcW w:w="7035" w:type="dxa"/>
          </w:tcPr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· 电源要求：适配器输入:100 – 240V ~ 200mA，50 – 60Hz，12-18VA</w:t>
            </w:r>
          </w:p>
          <w:p>
            <w:pPr>
              <w:bidi w:val="0"/>
              <w:spacing w:line="240" w:lineRule="auto"/>
              <w:ind w:firstLine="1260" w:firstLineChars="6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适配器输出: 12 VDC 0.5A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· 最大称量值：120g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· 可读性：0.1mg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· 重复性（标准方差）：0.1mg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· 线性误差：±0.0002g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· 稳定时间：4s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· 最小称量值：82mg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· 称盘尺寸：φ90mm</w:t>
            </w:r>
          </w:p>
          <w:p>
            <w:pPr>
              <w:bidi w:val="0"/>
              <w:spacing w:line="24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· 操作温度范围：10-30℃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4" w:type="dxa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数据接口</w:t>
            </w:r>
          </w:p>
        </w:tc>
        <w:tc>
          <w:tcPr>
            <w:tcW w:w="7035" w:type="dxa"/>
          </w:tcPr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· 设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</w:rPr>
              <w:t>有1 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RS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</w:rPr>
              <w:t>232 接口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pacing w:val="4"/>
                <w:position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spacing w:val="8"/>
                <w:position w:val="3"/>
                <w:sz w:val="21"/>
                <w:szCs w:val="21"/>
              </w:rPr>
              <w:t>通过使用</w:t>
            </w:r>
            <w:r>
              <w:rPr>
                <w:rFonts w:hint="eastAsia" w:ascii="宋体" w:hAnsi="宋体" w:eastAsia="宋体" w:cs="宋体"/>
                <w:color w:val="auto"/>
                <w:position w:val="3"/>
                <w:sz w:val="21"/>
                <w:szCs w:val="21"/>
              </w:rPr>
              <w:t>RS</w:t>
            </w:r>
            <w:r>
              <w:rPr>
                <w:rFonts w:hint="eastAsia" w:ascii="宋体" w:hAnsi="宋体" w:eastAsia="宋体" w:cs="宋体"/>
                <w:color w:val="auto"/>
                <w:spacing w:val="8"/>
                <w:position w:val="3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7"/>
                <w:position w:val="3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3"/>
                <w:sz w:val="21"/>
                <w:szCs w:val="21"/>
              </w:rPr>
              <w:t>2接口连接天平到电脑或打印机上可以传输天平数据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</w:rPr>
              <w:t>连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接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</w:rPr>
              <w:t>串口位于天平背面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71755</wp:posOffset>
                  </wp:positionV>
                  <wp:extent cx="2360930" cy="600710"/>
                  <wp:effectExtent l="0" t="0" r="1270" b="8890"/>
                  <wp:wrapNone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336" cy="601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</w:rPr>
            </w:pP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</w:rPr>
            </w:pPr>
          </w:p>
          <w:p>
            <w:pPr>
              <w:bidi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pacing w:val="4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4" w:type="dxa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称量模式</w:t>
            </w:r>
          </w:p>
        </w:tc>
        <w:tc>
          <w:tcPr>
            <w:tcW w:w="7035" w:type="dxa"/>
          </w:tcPr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pacing w:val="4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spacing w:val="5"/>
                <w:position w:val="1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1"/>
                <w:sz w:val="21"/>
                <w:szCs w:val="21"/>
              </w:rPr>
              <w:t xml:space="preserve"> 种称量模式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1"/>
                <w:sz w:val="21"/>
                <w:szCs w:val="21"/>
                <w:lang w:val="en-US" w:eastAsia="zh-CN"/>
              </w:rPr>
              <w:t>可供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1"/>
                <w:sz w:val="21"/>
                <w:szCs w:val="21"/>
              </w:rPr>
              <w:t>选择。长按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1"/>
                <w:sz w:val="21"/>
                <w:szCs w:val="21"/>
                <w14:textOutline w14:w="2819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功能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position w:val="1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1"/>
                <w:sz w:val="21"/>
                <w:szCs w:val="21"/>
                <w14:textOutline w14:w="2819" w14:cap="flat" w14:cmpd="sng">
                  <w14:solidFill>
                    <w14:srgbClr w14:val="231F20"/>
                  </w14:solidFill>
                  <w14:prstDash w14:val="solid"/>
                  <w14:miter w14:val="0"/>
                </w14:textOutline>
              </w:rPr>
              <w:t>称量模式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1"/>
                <w:sz w:val="21"/>
                <w:szCs w:val="21"/>
              </w:rPr>
              <w:t>键,选择不同的称量模式进行操作</w:t>
            </w:r>
          </w:p>
          <w:p>
            <w:pPr>
              <w:numPr>
                <w:ilvl w:val="0"/>
                <w:numId w:val="1"/>
              </w:num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position w:val="1"/>
                <w:sz w:val="21"/>
                <w:szCs w:val="21"/>
                <w:lang w:val="en-US" w:eastAsia="zh-CN"/>
              </w:rPr>
              <w:t>基本称量（</w:t>
            </w:r>
            <w:r>
              <w:rPr>
                <w:rFonts w:ascii="Arial" w:hAnsi="Arial" w:eastAsia="Arial" w:cs="Arial"/>
                <w:color w:val="231F20"/>
                <w:position w:val="1"/>
                <w:sz w:val="15"/>
                <w:szCs w:val="15"/>
              </w:rPr>
              <w:t>wWeIGH</w:t>
            </w:r>
            <w:r>
              <w:rPr>
                <w:rFonts w:ascii="Arial" w:hAnsi="Arial" w:eastAsia="Arial" w:cs="Arial"/>
                <w:color w:val="231F20"/>
                <w:spacing w:val="1"/>
                <w:position w:val="1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1"/>
                <w:sz w:val="21"/>
                <w:szCs w:val="21"/>
                <w:lang w:val="en-US"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bidi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position w:val="1"/>
                <w:sz w:val="21"/>
                <w:szCs w:val="21"/>
                <w:lang w:val="en-US" w:eastAsia="zh-CN"/>
              </w:rPr>
              <w:t>计件称量（</w:t>
            </w:r>
            <w:r>
              <w:rPr>
                <w:rFonts w:ascii="Arial" w:hAnsi="Arial" w:eastAsia="Arial" w:cs="Arial"/>
                <w:color w:val="231F20"/>
                <w:sz w:val="15"/>
                <w:szCs w:val="15"/>
              </w:rPr>
              <w:t>Count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1"/>
                <w:sz w:val="21"/>
                <w:szCs w:val="21"/>
                <w:lang w:val="en-US"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bidi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pacing w:val="4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position w:val="1"/>
                <w:sz w:val="21"/>
                <w:szCs w:val="21"/>
                <w:lang w:val="en-US" w:eastAsia="zh-CN"/>
              </w:rPr>
              <w:t>百分比称量（</w:t>
            </w:r>
            <w:r>
              <w:rPr>
                <w:rFonts w:ascii="Arial" w:hAnsi="Arial" w:eastAsia="Arial" w:cs="Arial"/>
                <w:color w:val="231F20"/>
                <w:sz w:val="15"/>
                <w:szCs w:val="15"/>
              </w:rPr>
              <w:t>PerCEnt</w:t>
            </w:r>
            <w:r>
              <w:rPr>
                <w:rFonts w:ascii="Arial" w:hAnsi="Arial" w:eastAsia="Arial" w:cs="Arial"/>
                <w:color w:val="231F20"/>
                <w:spacing w:val="8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1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4" w:type="dxa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下挂称量</w:t>
            </w:r>
          </w:p>
        </w:tc>
        <w:tc>
          <w:tcPr>
            <w:tcW w:w="7035" w:type="dxa"/>
          </w:tcPr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pacing w:val="9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231F20"/>
                <w:spacing w:val="9"/>
                <w:sz w:val="21"/>
                <w:szCs w:val="21"/>
              </w:rPr>
              <w:t>配备下挂秤钩可以进行天平下挂的称量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31F20"/>
                <w:spacing w:val="9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9525</wp:posOffset>
                  </wp:positionV>
                  <wp:extent cx="1332230" cy="911225"/>
                  <wp:effectExtent l="0" t="0" r="1270" b="3175"/>
                  <wp:wrapNone/>
                  <wp:docPr id="5" name="图片 5" descr="QQ截图20230414160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Q截图202304141607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9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9"/>
                <w:sz w:val="21"/>
                <w:szCs w:val="21"/>
                <w:lang w:eastAsia="zh-CN"/>
              </w:rPr>
            </w:pP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9"/>
                <w:sz w:val="21"/>
                <w:szCs w:val="21"/>
              </w:rPr>
            </w:pP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9"/>
                <w:sz w:val="21"/>
                <w:szCs w:val="21"/>
              </w:rPr>
            </w:pP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9"/>
                <w:sz w:val="21"/>
                <w:szCs w:val="21"/>
              </w:rPr>
            </w:pP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2"/>
                <w:sz w:val="21"/>
                <w:szCs w:val="21"/>
                <w:lang w:val="en-US" w:eastAsia="zh-CN"/>
              </w:rPr>
              <w:t>· 翻转天平之前, 请拆除秤盘、秤盘支撑装置、挡风圈/防风罩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2"/>
                <w:sz w:val="21"/>
                <w:szCs w:val="21"/>
                <w:lang w:val="en-US" w:eastAsia="zh-CN"/>
              </w:rPr>
              <w:t>以及防风罩组件(防风罩型号)</w:t>
            </w:r>
          </w:p>
          <w:p>
            <w:pPr>
              <w:bidi w:val="0"/>
              <w:spacing w:line="240" w:lineRule="auto"/>
              <w:jc w:val="left"/>
              <w:rPr>
                <w:rFonts w:hint="default" w:ascii="宋体" w:hAnsi="宋体" w:eastAsia="宋体" w:cs="宋体"/>
                <w:color w:val="231F20"/>
                <w:spacing w:val="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2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157480</wp:posOffset>
                  </wp:positionV>
                  <wp:extent cx="3609975" cy="1172210"/>
                  <wp:effectExtent l="0" t="0" r="9525" b="8890"/>
                  <wp:wrapNone/>
                  <wp:docPr id="4" name="图片 4" descr="QQ截图20230414160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Q截图2023041416064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11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231F20"/>
                <w:spacing w:val="12"/>
                <w:sz w:val="21"/>
                <w:szCs w:val="21"/>
                <w:lang w:val="en-US" w:eastAsia="zh-CN"/>
              </w:rPr>
              <w:t>· 使用时</w:t>
            </w:r>
            <w:r>
              <w:rPr>
                <w:rFonts w:hint="eastAsia" w:ascii="宋体" w:hAnsi="宋体" w:eastAsia="宋体" w:cs="宋体"/>
                <w:color w:val="231F20"/>
                <w:spacing w:val="5"/>
                <w:sz w:val="21"/>
                <w:szCs w:val="21"/>
              </w:rPr>
              <w:t>拔掉天平电源, 打开下挂秤钩的防护盖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12"/>
                <w:sz w:val="21"/>
                <w:szCs w:val="21"/>
                <w:lang w:eastAsia="zh-CN"/>
              </w:rPr>
            </w:pP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12"/>
                <w:sz w:val="21"/>
                <w:szCs w:val="21"/>
              </w:rPr>
            </w:pP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12"/>
                <w:sz w:val="21"/>
                <w:szCs w:val="21"/>
              </w:rPr>
            </w:pP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12"/>
                <w:sz w:val="21"/>
                <w:szCs w:val="21"/>
              </w:rPr>
            </w:pP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12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12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注意：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1.天平可以使用实验室支撑台或其他任何方便的方法进行支撑。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2.确保天平调节水平而且安装地牢靠。</w:t>
            </w:r>
          </w:p>
          <w:p>
            <w:pPr>
              <w:bidi w:val="0"/>
              <w:spacing w:line="240" w:lineRule="auto"/>
              <w:jc w:val="left"/>
              <w:rPr>
                <w:rFonts w:hint="default" w:ascii="宋体" w:hAnsi="宋体" w:eastAsia="宋体" w:cs="宋体"/>
                <w:color w:val="231F20"/>
                <w:spacing w:val="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3.连接电源,然后使用线或金属丝连接下挂秤钩和样品。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4" w:type="dxa"/>
          </w:tcPr>
          <w:p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设备外形尺寸</w:t>
            </w:r>
          </w:p>
        </w:tc>
        <w:tc>
          <w:tcPr>
            <w:tcW w:w="7035" w:type="dxa"/>
          </w:tcPr>
          <w:p>
            <w:pPr>
              <w:bidi w:val="0"/>
              <w:spacing w:line="24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mm（L）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*321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mm（W）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*333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mm（H）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4" w:type="dxa"/>
          </w:tcPr>
          <w:p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重量</w:t>
            </w:r>
          </w:p>
        </w:tc>
        <w:tc>
          <w:tcPr>
            <w:tcW w:w="7035" w:type="dxa"/>
          </w:tcPr>
          <w:p>
            <w:pPr>
              <w:bidi w:val="0"/>
              <w:spacing w:line="24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约4.5KG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4" w:type="dxa"/>
          </w:tcPr>
          <w:p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质保</w:t>
            </w:r>
          </w:p>
        </w:tc>
        <w:tc>
          <w:tcPr>
            <w:tcW w:w="7035" w:type="dxa"/>
          </w:tcPr>
          <w:p>
            <w:pPr>
              <w:bidi w:val="0"/>
              <w:spacing w:line="24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4" w:type="dxa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7035" w:type="dxa"/>
          </w:tcPr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C00000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pacing w:val="9"/>
                <w:sz w:val="21"/>
                <w:szCs w:val="21"/>
                <w:lang w:val="en-US" w:eastAsia="zh-CN"/>
              </w:rPr>
              <w:t>· 使用前, 请先确定电源插头上的输入电压必须与当地交流电源相匹配。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C00000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pacing w:val="9"/>
                <w:sz w:val="21"/>
                <w:szCs w:val="21"/>
                <w:lang w:val="en-US" w:eastAsia="zh-CN"/>
              </w:rPr>
              <w:t>· 确保电源线不会造成障碍或缠绕的危害。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C00000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pacing w:val="9"/>
                <w:sz w:val="21"/>
                <w:szCs w:val="21"/>
                <w:lang w:val="en-US" w:eastAsia="zh-CN"/>
              </w:rPr>
              <w:t>· 请将天平放置于易于连接到电源插座的地方。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C00000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pacing w:val="9"/>
                <w:sz w:val="21"/>
                <w:szCs w:val="21"/>
                <w:lang w:val="en-US" w:eastAsia="zh-CN"/>
              </w:rPr>
              <w:t>· 禁止将重物砸落在秤盘上。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C00000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pacing w:val="9"/>
                <w:sz w:val="21"/>
                <w:szCs w:val="21"/>
                <w:lang w:val="en-US" w:eastAsia="zh-CN"/>
              </w:rPr>
              <w:t>· 仅在干燥的环境下使用电子天平, 避免在有危害或在不稳定的环境下使用天平。</w:t>
            </w:r>
          </w:p>
          <w:p>
            <w:pPr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pacing w:val="9"/>
                <w:sz w:val="21"/>
                <w:szCs w:val="21"/>
                <w:lang w:val="en-US" w:eastAsia="zh-CN"/>
              </w:rPr>
              <w:t>· 当进行天平清洁的时候, 请断开电源连</w:t>
            </w:r>
            <w:r>
              <w:rPr>
                <w:rFonts w:hint="eastAsia" w:ascii="宋体" w:hAnsi="宋体" w:eastAsia="宋体" w:cs="宋体"/>
                <w:color w:val="C00000"/>
                <w:spacing w:val="1"/>
                <w:sz w:val="21"/>
                <w:szCs w:val="21"/>
              </w:rPr>
              <w:t>接。</w:t>
            </w:r>
          </w:p>
        </w:tc>
      </w:tr>
    </w:tbl>
    <w:p>
      <w:pPr>
        <w:bidi w:val="0"/>
        <w:spacing w:line="240" w:lineRule="auto"/>
        <w:ind w:firstLine="4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2040204020203"/>
    <w:charset w:val="86"/>
    <w:family w:val="auto"/>
    <w:pitch w:val="default"/>
    <w:sig w:usb0="A00002BF" w:usb1="2ACF7CFB" w:usb2="00000016" w:usb3="00000000" w:csb0="2004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105410</wp:posOffset>
              </wp:positionH>
              <wp:positionV relativeFrom="paragraph">
                <wp:posOffset>-81915</wp:posOffset>
              </wp:positionV>
              <wp:extent cx="5035550" cy="15240"/>
              <wp:effectExtent l="0" t="4445" r="12700" b="8890"/>
              <wp:wrapNone/>
              <wp:docPr id="1" name="自选图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35550" cy="1524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" o:spid="_x0000_s1026" o:spt="32" type="#_x0000_t32" style="position:absolute;left:0pt;flip:y;margin-left:8.3pt;margin-top:-6.45pt;height:1.2pt;width:396.5pt;z-index:251663360;mso-width-relative:page;mso-height-relative:page;" filled="f" stroked="t" coordsize="21600,21600" o:gfxdata="UEsDBAoAAAAAAIdO4kAAAAAAAAAAAAAAAAAEAAAAZHJzL1BLAwQUAAAACACHTuJAjAaoQtYAAAAK&#10;AQAADwAAAGRycy9kb3ducmV2LnhtbE2PwU7DMBBE75X4B2uRuLV2KghpiNMDEogDitQCdzdekkC8&#10;DrGbtH/P9gTHmX2anSm2J9eLCcfQedKQrBQIpNrbjhoN729PywxEiIas6T2hhjMG2JZXi8Lk1s+0&#10;w2kfG8EhFHKjoY1xyKUMdYvOhJUfkPj26UdnIsuxkXY0M4e7Xq6VSqUzHfGH1gz42GL9vT86DT90&#10;f/64lVP2VVUxfX55bQirWeub60Q9gIh4in8wXOpzdSi508EfyQbRs05TJjUsk/UGBAOZ2rBzuDjq&#10;DmRZyP8Tyl9QSwMEFAAAAAgAh07iQGmHBUj+AQAA8gMAAA4AAABkcnMvZTJvRG9jLnhtbK1TS44T&#10;MRDdI3EHy3vSSaAR00pnFgnDBkEkPnvHn25L/snlSSc7dogzsGPJHZjbjAS3mLI7ZGDYZEEvrHLZ&#10;9are6+fF5d4aspMRtHctnU2mlEjHvdCua+mH91dPXlACiTnBjHeypQcJ9HL5+NFiCI2c+94bISNB&#10;EAfNEFrapxSaqgLeS8tg4oN0eKh8tCzhNnaViGxAdGuq+XT6vBp8FCF6LgEwux4P6RExngPoldJc&#10;rj2/ttKlETVKwxJSgl4HoMsyrVKSp7dKgUzEtBSZprJiE4y3ea2WC9Z0kYVe8+MI7JwRHnCyTDts&#10;eoJas8TIddT/QFnNowev0oR7W41EiiLIYjZ9oM27ngVZuKDUEE6iw/+D5W92m0i0QCdQ4pjFH/7z&#10;8/dfn77cfr25/fGNzIpEQ4AGb67cJqJgeQdhEzPfvYqWKKPDx4yQM8iJ7IvAh5PAcp8Ix2Q9fVrX&#10;NWrP8WxWz58V9GqEycUhQnolvSU5aCmkyHTXp5V3Dn+lj2MLtnsNCQfBwt8Fudg4MrT0op7X2ICh&#10;NRVaAkMbkB64rowH3mhxpY3JFRC77cpEsmPZHuXLjkDcv67lJmsG/XivHI3G6SUTL50g6RBQOIfv&#10;heYRrBSUGInPK0fFYolpc85NbG0cTnCvcY62XhyK9CWPVigzHm2bvfbnvlTfP9XlH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wGqELWAAAACgEAAA8AAAAAAAAAAQAgAAAAIgAAAGRycy9kb3ducmV2&#10;LnhtbFBLAQIUABQAAAAIAIdO4kBphwVI/gEAAPIDAAAOAAAAAAAAAAEAIAAAACUBAABkcnMvZTJv&#10;RG9jLnhtbFBLBQYAAAAABgAGAFkBAACV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b/>
      </w:rPr>
      <w:t>科学领航，技术</w:t>
    </w:r>
    <w:r>
      <w:rPr>
        <w:rFonts w:hint="eastAsia"/>
        <w:b/>
        <w:lang w:val="en-US" w:eastAsia="zh-CN"/>
      </w:rPr>
      <w:t>结</w:t>
    </w:r>
    <w:r>
      <w:rPr>
        <w:b/>
      </w:rPr>
      <w:t>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</w:pPr>
    <w:r>
      <w:rPr>
        <w:rFonts w:hint="eastAsia"/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-35560</wp:posOffset>
          </wp:positionV>
          <wp:extent cx="1381125" cy="361950"/>
          <wp:effectExtent l="19050" t="0" r="9525" b="0"/>
          <wp:wrapNone/>
          <wp:docPr id="3" name="图片 1" descr="C:\Users\ADMINI~1\AppData\Local\Temp\WeChat Files\f5feeaa3f3a5bca1ebfa0f0afeee1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ADMINI~1\AppData\Local\Temp\WeChat Files\f5feeaa3f3a5bca1ebfa0f0afeee1f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t xml:space="preserve">                HE FEI KE JING MATERIALS TECHNOLOGY CO.,LTD</w:t>
    </w:r>
  </w:p>
  <w:p>
    <w:pPr>
      <w:pStyle w:val="5"/>
      <w:rPr>
        <w:shd w:val="pct10" w:color="auto" w:fill="FFFFFF"/>
      </w:rPr>
    </w:pPr>
    <w:r>
      <w:rPr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pict>
        <v:shape id="PowerPlusWaterMarkObject12869085" o:spid="_x0000_s4098" o:spt="136" type="#_x0000_t136" style="position:absolute;left:0pt;height:117.1pt;width:468.4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合肥科晶" style="font-family:宋体;font-size:1pt;v-text-align:center;"/>
        </v:shape>
      </w:pict>
    </w:r>
    <w:r>
      <w:rPr>
        <w:rFonts w:hint="eastAsia"/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t xml:space="preserve">                </w:t>
    </w:r>
    <w:r>
      <w:rPr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t>合肥科晶材料技术有限公司</w:t>
    </w:r>
    <w:r>
      <w:rPr>
        <w:rFonts w:hint="eastAsia"/>
        <w:b/>
        <w:color w:val="1F497D" w:themeColor="text2"/>
        <w:sz w:val="21"/>
        <w:szCs w:val="21"/>
        <w14:textFill>
          <w14:solidFill>
            <w14:schemeClr w14:val="tx2"/>
          </w14:solidFill>
        </w14:textFill>
      </w:rPr>
      <w:t xml:space="preserve">   www.kjmti.com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2869084" o:spid="_x0000_s4097" o:spt="136" type="#_x0000_t136" style="position:absolute;left:0pt;height:117.1pt;width:468.4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合肥科晶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92E31E"/>
    <w:multiLevelType w:val="singleLevel"/>
    <w:tmpl w:val="6592E31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TdkMjI5ZmZjYzRjOWNiMTdlODg0MmEyNTcyMWQifQ=="/>
  </w:docVars>
  <w:rsids>
    <w:rsidRoot w:val="00C501B4"/>
    <w:rsid w:val="0003404B"/>
    <w:rsid w:val="00066293"/>
    <w:rsid w:val="000B5983"/>
    <w:rsid w:val="000E50EA"/>
    <w:rsid w:val="00192325"/>
    <w:rsid w:val="00224E6A"/>
    <w:rsid w:val="002449E5"/>
    <w:rsid w:val="00287D24"/>
    <w:rsid w:val="00302011"/>
    <w:rsid w:val="003355C9"/>
    <w:rsid w:val="004002E8"/>
    <w:rsid w:val="00415A3B"/>
    <w:rsid w:val="0048713A"/>
    <w:rsid w:val="004A02EF"/>
    <w:rsid w:val="004E599E"/>
    <w:rsid w:val="00504D5C"/>
    <w:rsid w:val="00595D5D"/>
    <w:rsid w:val="006045C8"/>
    <w:rsid w:val="00604CFF"/>
    <w:rsid w:val="00607F55"/>
    <w:rsid w:val="00620E95"/>
    <w:rsid w:val="006233AB"/>
    <w:rsid w:val="00647033"/>
    <w:rsid w:val="00667E4C"/>
    <w:rsid w:val="006A6303"/>
    <w:rsid w:val="00706224"/>
    <w:rsid w:val="00720396"/>
    <w:rsid w:val="0072440D"/>
    <w:rsid w:val="007D1C89"/>
    <w:rsid w:val="00805709"/>
    <w:rsid w:val="008D2401"/>
    <w:rsid w:val="008E0868"/>
    <w:rsid w:val="009106B0"/>
    <w:rsid w:val="00911ABF"/>
    <w:rsid w:val="009477BD"/>
    <w:rsid w:val="009C310D"/>
    <w:rsid w:val="00A403CC"/>
    <w:rsid w:val="00AC7EF0"/>
    <w:rsid w:val="00B314B9"/>
    <w:rsid w:val="00B51F0F"/>
    <w:rsid w:val="00BC50A0"/>
    <w:rsid w:val="00BC7588"/>
    <w:rsid w:val="00BC75FE"/>
    <w:rsid w:val="00C12B91"/>
    <w:rsid w:val="00C24BEA"/>
    <w:rsid w:val="00C403EB"/>
    <w:rsid w:val="00C501B4"/>
    <w:rsid w:val="00C5651E"/>
    <w:rsid w:val="00CA05C0"/>
    <w:rsid w:val="00CC0314"/>
    <w:rsid w:val="00CC7A9E"/>
    <w:rsid w:val="00CF7DEE"/>
    <w:rsid w:val="00D17B49"/>
    <w:rsid w:val="00D6200E"/>
    <w:rsid w:val="00DC2E02"/>
    <w:rsid w:val="00DD740B"/>
    <w:rsid w:val="00E031AC"/>
    <w:rsid w:val="00E34B17"/>
    <w:rsid w:val="00E70BF4"/>
    <w:rsid w:val="00F166C6"/>
    <w:rsid w:val="00F674AE"/>
    <w:rsid w:val="00F94C3B"/>
    <w:rsid w:val="00FD17D3"/>
    <w:rsid w:val="01156434"/>
    <w:rsid w:val="04C17BA1"/>
    <w:rsid w:val="07C07CFB"/>
    <w:rsid w:val="07FE4421"/>
    <w:rsid w:val="08471B54"/>
    <w:rsid w:val="0AD8022F"/>
    <w:rsid w:val="0F672194"/>
    <w:rsid w:val="16E1207E"/>
    <w:rsid w:val="19796C53"/>
    <w:rsid w:val="1ABB0E3D"/>
    <w:rsid w:val="1CA6257F"/>
    <w:rsid w:val="1D546EAF"/>
    <w:rsid w:val="1F1116F5"/>
    <w:rsid w:val="25AE66BF"/>
    <w:rsid w:val="276E616E"/>
    <w:rsid w:val="2D206ED2"/>
    <w:rsid w:val="380712F9"/>
    <w:rsid w:val="393A4A4E"/>
    <w:rsid w:val="3C761E1B"/>
    <w:rsid w:val="3F6F37D8"/>
    <w:rsid w:val="440F4021"/>
    <w:rsid w:val="46E81B35"/>
    <w:rsid w:val="474D61EE"/>
    <w:rsid w:val="4B034E26"/>
    <w:rsid w:val="4CE851CD"/>
    <w:rsid w:val="4F2A04DC"/>
    <w:rsid w:val="53DA5301"/>
    <w:rsid w:val="575D4116"/>
    <w:rsid w:val="58413875"/>
    <w:rsid w:val="586021CB"/>
    <w:rsid w:val="5A9F29C3"/>
    <w:rsid w:val="5DEB25B0"/>
    <w:rsid w:val="5E3715C3"/>
    <w:rsid w:val="61C61D4A"/>
    <w:rsid w:val="666E4D3A"/>
    <w:rsid w:val="6B867E85"/>
    <w:rsid w:val="711E389E"/>
    <w:rsid w:val="7580256A"/>
    <w:rsid w:val="76340E3F"/>
    <w:rsid w:val="77C36EA2"/>
    <w:rsid w:val="7B204345"/>
    <w:rsid w:val="7B4E4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Intense Quote"/>
    <w:basedOn w:val="1"/>
    <w:next w:val="1"/>
    <w:link w:val="13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3">
    <w:name w:val="明显引用 Char"/>
    <w:basedOn w:val="9"/>
    <w:link w:val="12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style01"/>
    <w:basedOn w:val="9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801</Words>
  <Characters>921</Characters>
  <Lines>17</Lines>
  <Paragraphs>4</Paragraphs>
  <TotalTime>1</TotalTime>
  <ScaleCrop>false</ScaleCrop>
  <LinksUpToDate>false</LinksUpToDate>
  <CharactersWithSpaces>967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2021-04-13T03:04:00Z</dcterms:created>
  <dc:creator>Administrator</dc:creator>
  <cp:lastModifiedBy>梅丫丫呀呀</cp:lastModifiedBy>
  <dcterms:modified xsi:type="dcterms:W3CDTF">2023-04-14T08:16:11Z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0E94D6ED42744230A7E8CA45E6EA9A04_13</vt:lpwstr>
  </property>
</Properties>
</file>